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6300" w14:textId="77777777" w:rsidR="00BE16A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MANUAL DE CONTRATAÇÃO PARA DISPENSA ELETRÔNICA DE SERVIÇO DE PEQUENO VALOR COM FUNDAMENTO NA LEI Nº 14.133/2021</w:t>
      </w:r>
    </w:p>
    <w:p w14:paraId="5CAD01EA" w14:textId="77777777" w:rsidR="00BE16A7" w:rsidRDefault="00BE16A7">
      <w:pPr>
        <w:rPr>
          <w:rFonts w:ascii="Times New Roman" w:eastAsia="Times New Roman" w:hAnsi="Times New Roman" w:cs="Times New Roman"/>
          <w:sz w:val="24"/>
          <w:szCs w:val="24"/>
        </w:rPr>
      </w:pPr>
    </w:p>
    <w:p w14:paraId="742F6537" w14:textId="77777777" w:rsidR="00BE16A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Aspectos Introdutórios</w:t>
      </w:r>
    </w:p>
    <w:p w14:paraId="594AEECF" w14:textId="77777777" w:rsidR="00BE16A7" w:rsidRDefault="00BE16A7">
      <w:pPr>
        <w:ind w:firstLine="709"/>
        <w:rPr>
          <w:rFonts w:ascii="Times New Roman" w:eastAsia="Times New Roman" w:hAnsi="Times New Roman" w:cs="Times New Roman"/>
          <w:sz w:val="24"/>
          <w:szCs w:val="24"/>
        </w:rPr>
      </w:pPr>
    </w:p>
    <w:p w14:paraId="2AB8508B"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manual apresentaremos informações relevantes para a instrução processual das contratações diretas de pequeno valor sob a égide da nova lei de licitações e contratos (Lei nº 14.133). </w:t>
      </w:r>
    </w:p>
    <w:p w14:paraId="7BF6BA10" w14:textId="77777777" w:rsidR="00BE16A7" w:rsidRDefault="00BE16A7">
      <w:pPr>
        <w:ind w:firstLine="709"/>
        <w:rPr>
          <w:rFonts w:ascii="Times New Roman" w:eastAsia="Times New Roman" w:hAnsi="Times New Roman" w:cs="Times New Roman"/>
          <w:sz w:val="24"/>
          <w:szCs w:val="24"/>
        </w:rPr>
      </w:pPr>
    </w:p>
    <w:p w14:paraId="434CE249" w14:textId="77777777" w:rsidR="00BE16A7" w:rsidRDefault="00000000">
      <w:pPr>
        <w:ind w:firstLine="709"/>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De antemão, cumpre apresentar algumas noções gerais. A contratação direta compreende os casos de inexigibilidade e de dispensa de licitação, com previsão legal, respectivamente, nos artigos 74 e 75 da Lei nº 14.133. </w:t>
      </w:r>
    </w:p>
    <w:p w14:paraId="7791E8B4" w14:textId="77777777" w:rsidR="00BE16A7" w:rsidRDefault="00BE16A7">
      <w:pPr>
        <w:ind w:firstLine="709"/>
        <w:rPr>
          <w:rFonts w:ascii="Times New Roman" w:eastAsia="Times New Roman" w:hAnsi="Times New Roman" w:cs="Times New Roman"/>
          <w:sz w:val="24"/>
          <w:szCs w:val="24"/>
          <w:highlight w:val="red"/>
        </w:rPr>
      </w:pPr>
    </w:p>
    <w:p w14:paraId="33992798"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 dispensa é a possibilidade legal da Administração Pública deixar de realizar a licitação, ainda que seja viável a competição entre fornecedores.  Aqui, nos debruçaremos sobre a contratação por meio de dispensa de licitação em razão do baixo valor da despesa, incisos I e II do art. 75.</w:t>
      </w:r>
    </w:p>
    <w:p w14:paraId="1590C2C5" w14:textId="77777777" w:rsidR="00BE16A7" w:rsidRDefault="00BE16A7">
      <w:pPr>
        <w:ind w:firstLine="709"/>
        <w:rPr>
          <w:rFonts w:ascii="Times New Roman" w:eastAsia="Times New Roman" w:hAnsi="Times New Roman" w:cs="Times New Roman"/>
          <w:sz w:val="24"/>
          <w:szCs w:val="24"/>
        </w:rPr>
      </w:pPr>
    </w:p>
    <w:p w14:paraId="6D8CBD28"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O inciso I estabelece que a licitação é dispensável, no caso de obras e serviços de engenharia ou de serviços de manutenção de veículos automotores, para a contratação que envolva valores inferiores a R$ 100.000,00 (cem mil reais).</w:t>
      </w:r>
    </w:p>
    <w:p w14:paraId="4B418D35" w14:textId="77777777" w:rsidR="00BE16A7" w:rsidRDefault="00BE16A7">
      <w:pPr>
        <w:ind w:firstLine="709"/>
        <w:rPr>
          <w:rFonts w:ascii="Times New Roman" w:eastAsia="Times New Roman" w:hAnsi="Times New Roman" w:cs="Times New Roman"/>
          <w:sz w:val="24"/>
          <w:szCs w:val="24"/>
        </w:rPr>
      </w:pPr>
    </w:p>
    <w:p w14:paraId="2CD316D4"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O inciso II, por sua vez, determina que a licitação é dispensável, no caso de outros serviços e compras, para a contratação que envolva valores inferiores a R$ 50.000,00 (cinquenta mil reais).</w:t>
      </w:r>
    </w:p>
    <w:p w14:paraId="391F7E0F" w14:textId="77777777" w:rsidR="00BE16A7" w:rsidRDefault="00BE16A7">
      <w:pPr>
        <w:ind w:firstLine="709"/>
        <w:rPr>
          <w:rFonts w:ascii="Times New Roman" w:eastAsia="Times New Roman" w:hAnsi="Times New Roman" w:cs="Times New Roman"/>
          <w:sz w:val="24"/>
          <w:szCs w:val="24"/>
        </w:rPr>
      </w:pPr>
    </w:p>
    <w:p w14:paraId="0833E463"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 destacar, contudo, que os valores estabelecidos pela lei são anualmente atualizados pelo IPCA-E por meio de decreto, com vigência a partir de 1º de janeiro de cada ano. Para o ano de 2024 os valores são: </w:t>
      </w:r>
      <w:r>
        <w:rPr>
          <w:rFonts w:ascii="Times New Roman" w:eastAsia="Times New Roman" w:hAnsi="Times New Roman" w:cs="Times New Roman"/>
          <w:b/>
          <w:sz w:val="24"/>
          <w:szCs w:val="24"/>
        </w:rPr>
        <w:t>R$ 119.812,02 (cento e dezenove mil oitocentos e doze reais e dois centavos) e R$ 59.906,02 (cinquenta e nove mil novecentos e seis reais e dois centavos)</w:t>
      </w:r>
      <w:r>
        <w:rPr>
          <w:rFonts w:ascii="Times New Roman" w:eastAsia="Times New Roman" w:hAnsi="Times New Roman" w:cs="Times New Roman"/>
          <w:sz w:val="24"/>
          <w:szCs w:val="24"/>
        </w:rPr>
        <w:t xml:space="preserve">. </w:t>
      </w:r>
    </w:p>
    <w:p w14:paraId="49CD62C3" w14:textId="77777777" w:rsidR="00BE16A7" w:rsidRDefault="00BE16A7">
      <w:pPr>
        <w:ind w:firstLine="709"/>
        <w:rPr>
          <w:rFonts w:ascii="Times New Roman" w:eastAsia="Times New Roman" w:hAnsi="Times New Roman" w:cs="Times New Roman"/>
          <w:sz w:val="24"/>
          <w:szCs w:val="24"/>
        </w:rPr>
      </w:pPr>
    </w:p>
    <w:p w14:paraId="53C71FFD" w14:textId="77777777" w:rsidR="00B31529" w:rsidRDefault="00B31529">
      <w:pPr>
        <w:ind w:firstLine="709"/>
        <w:rPr>
          <w:rFonts w:ascii="Times New Roman" w:eastAsia="Times New Roman" w:hAnsi="Times New Roman" w:cs="Times New Roman"/>
          <w:sz w:val="24"/>
          <w:szCs w:val="24"/>
        </w:rPr>
      </w:pPr>
    </w:p>
    <w:p w14:paraId="6752A08A"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Os valores informados correspondem a limites por exercício financeiro. Nesse sentido, para verificação do respeito ao diploma legal são somadas as despesas realizadas com objetos de mesma natureza, entendidos como aqueles integrantes de um mesmo ramo de atividade econômica. </w:t>
      </w:r>
      <w:r>
        <w:rPr>
          <w:rFonts w:ascii="Times New Roman" w:eastAsia="Times New Roman" w:hAnsi="Times New Roman" w:cs="Times New Roman"/>
          <w:b/>
          <w:sz w:val="24"/>
          <w:szCs w:val="24"/>
        </w:rPr>
        <w:t>Uma novidade trazida pela nova lei é que essa soma inclui os dispêndios com licitações realizadas pela unidade gestora</w:t>
      </w:r>
      <w:r>
        <w:rPr>
          <w:rFonts w:ascii="Times New Roman" w:eastAsia="Times New Roman" w:hAnsi="Times New Roman" w:cs="Times New Roman"/>
          <w:sz w:val="24"/>
          <w:szCs w:val="24"/>
        </w:rPr>
        <w:t xml:space="preserve">. Cabe a Coordenação de Licitação realizar essa análise de fracionamento de despesa para que não se incorra em contratação indevida. </w:t>
      </w:r>
    </w:p>
    <w:p w14:paraId="67E5B5D5" w14:textId="77777777" w:rsidR="00BE16A7" w:rsidRDefault="00BE16A7">
      <w:pPr>
        <w:ind w:firstLine="709"/>
        <w:rPr>
          <w:rFonts w:ascii="Times New Roman" w:eastAsia="Times New Roman" w:hAnsi="Times New Roman" w:cs="Times New Roman"/>
          <w:sz w:val="24"/>
          <w:szCs w:val="24"/>
        </w:rPr>
      </w:pPr>
    </w:p>
    <w:p w14:paraId="727D9533"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Atingido o limite legalmente fixado, as demais contratações devem seguir o rito licitatório.</w:t>
      </w:r>
    </w:p>
    <w:p w14:paraId="56D1CA26" w14:textId="77777777" w:rsidR="00BE16A7" w:rsidRDefault="00BE16A7">
      <w:pPr>
        <w:rPr>
          <w:rFonts w:ascii="Times New Roman" w:eastAsia="Times New Roman" w:hAnsi="Times New Roman" w:cs="Times New Roman"/>
          <w:sz w:val="24"/>
          <w:szCs w:val="24"/>
        </w:rPr>
      </w:pPr>
    </w:p>
    <w:p w14:paraId="49450120" w14:textId="77777777" w:rsidR="00BE16A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 Caracterização da Contratação Direta</w:t>
      </w:r>
    </w:p>
    <w:p w14:paraId="774902FC" w14:textId="77777777" w:rsidR="00BE16A7" w:rsidRDefault="00BE16A7">
      <w:pPr>
        <w:rPr>
          <w:rFonts w:ascii="Times New Roman" w:eastAsia="Times New Roman" w:hAnsi="Times New Roman" w:cs="Times New Roman"/>
          <w:sz w:val="24"/>
          <w:szCs w:val="24"/>
        </w:rPr>
      </w:pPr>
    </w:p>
    <w:p w14:paraId="47047FFF" w14:textId="77777777" w:rsidR="00BE16A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Os casos de contratação direta, ainda que de pequeno valor, não dispensam a observância de um procedimento formal prévio.</w:t>
      </w:r>
    </w:p>
    <w:p w14:paraId="12AF3C9F" w14:textId="77777777" w:rsidR="00BE16A7" w:rsidRDefault="00BE16A7">
      <w:pPr>
        <w:rPr>
          <w:rFonts w:ascii="Times New Roman" w:eastAsia="Times New Roman" w:hAnsi="Times New Roman" w:cs="Times New Roman"/>
          <w:sz w:val="24"/>
          <w:szCs w:val="24"/>
        </w:rPr>
      </w:pPr>
    </w:p>
    <w:p w14:paraId="67B55136" w14:textId="77777777" w:rsidR="00BE16A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administrador ao decidir pela não realização de licitação deve ter redobrada cautela, pois constitui crime dispensar ou </w:t>
      </w:r>
      <w:proofErr w:type="spellStart"/>
      <w:r>
        <w:rPr>
          <w:rFonts w:ascii="Times New Roman" w:eastAsia="Times New Roman" w:hAnsi="Times New Roman" w:cs="Times New Roman"/>
          <w:sz w:val="24"/>
          <w:szCs w:val="24"/>
        </w:rPr>
        <w:t>inexigir</w:t>
      </w:r>
      <w:proofErr w:type="spellEnd"/>
      <w:r>
        <w:rPr>
          <w:rFonts w:ascii="Times New Roman" w:eastAsia="Times New Roman" w:hAnsi="Times New Roman" w:cs="Times New Roman"/>
          <w:sz w:val="24"/>
          <w:szCs w:val="24"/>
        </w:rPr>
        <w:t xml:space="preserve"> licitação fora das hipóteses previstas em lei.</w:t>
      </w:r>
    </w:p>
    <w:p w14:paraId="31F98053" w14:textId="77777777" w:rsidR="00BE16A7" w:rsidRDefault="00BE16A7">
      <w:pPr>
        <w:ind w:firstLine="720"/>
        <w:rPr>
          <w:rFonts w:ascii="Times New Roman" w:eastAsia="Times New Roman" w:hAnsi="Times New Roman" w:cs="Times New Roman"/>
          <w:sz w:val="24"/>
          <w:szCs w:val="24"/>
        </w:rPr>
      </w:pPr>
    </w:p>
    <w:p w14:paraId="4BBCC5B8"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Nessa toada, destaca-se:</w:t>
      </w:r>
    </w:p>
    <w:p w14:paraId="23FA0E52" w14:textId="77777777" w:rsidR="00BE16A7" w:rsidRDefault="00000000">
      <w:pPr>
        <w:rPr>
          <w:rFonts w:ascii="Times New Roman" w:eastAsia="Times New Roman" w:hAnsi="Times New Roman" w:cs="Times New Roman"/>
          <w:sz w:val="24"/>
          <w:szCs w:val="24"/>
        </w:rPr>
      </w:pPr>
      <w:r>
        <w:rPr>
          <w:noProof/>
        </w:rPr>
        <mc:AlternateContent>
          <mc:Choice Requires="wpg">
            <w:drawing>
              <wp:anchor distT="0" distB="0" distL="0" distR="0" simplePos="0" relativeHeight="251658240" behindDoc="0" locked="0" layoutInCell="1" hidden="0" allowOverlap="1" wp14:anchorId="675A784B" wp14:editId="14C5C3B1">
                <wp:simplePos x="0" y="0"/>
                <wp:positionH relativeFrom="column">
                  <wp:posOffset>0</wp:posOffset>
                </wp:positionH>
                <wp:positionV relativeFrom="paragraph">
                  <wp:posOffset>100943</wp:posOffset>
                </wp:positionV>
                <wp:extent cx="5808980" cy="322580"/>
                <wp:effectExtent l="0" t="0" r="0" b="0"/>
                <wp:wrapTopAndBottom distT="0" distB="0"/>
                <wp:docPr id="11" name="Agrupar 11"/>
                <wp:cNvGraphicFramePr/>
                <a:graphic xmlns:a="http://schemas.openxmlformats.org/drawingml/2006/main">
                  <a:graphicData uri="http://schemas.microsoft.com/office/word/2010/wordprocessingGroup">
                    <wpg:wgp>
                      <wpg:cNvGrpSpPr/>
                      <wpg:grpSpPr>
                        <a:xfrm>
                          <a:off x="0" y="0"/>
                          <a:ext cx="5808980" cy="322580"/>
                          <a:chOff x="2441500" y="3618700"/>
                          <a:chExt cx="5815350" cy="327650"/>
                        </a:xfrm>
                      </wpg:grpSpPr>
                      <wpg:grpSp>
                        <wpg:cNvPr id="543718889" name="Agrupar 543718889"/>
                        <wpg:cNvGrpSpPr/>
                        <wpg:grpSpPr>
                          <a:xfrm>
                            <a:off x="2441510" y="3618710"/>
                            <a:ext cx="5808980" cy="322580"/>
                            <a:chOff x="2441510" y="3618710"/>
                            <a:chExt cx="5802630" cy="317500"/>
                          </a:xfrm>
                        </wpg:grpSpPr>
                        <wps:wsp>
                          <wps:cNvPr id="286791315" name="Retângulo 286791315"/>
                          <wps:cNvSpPr/>
                          <wps:spPr>
                            <a:xfrm>
                              <a:off x="2441510" y="3618710"/>
                              <a:ext cx="5802625" cy="317500"/>
                            </a:xfrm>
                            <a:prstGeom prst="rect">
                              <a:avLst/>
                            </a:prstGeom>
                            <a:noFill/>
                            <a:ln>
                              <a:noFill/>
                            </a:ln>
                          </wps:spPr>
                          <wps:txbx>
                            <w:txbxContent>
                              <w:p w14:paraId="6C5DAB1A" w14:textId="77777777" w:rsidR="00BE16A7" w:rsidRDefault="00BE16A7">
                                <w:pPr>
                                  <w:spacing w:line="240" w:lineRule="auto"/>
                                  <w:jc w:val="left"/>
                                  <w:textDirection w:val="btLr"/>
                                </w:pPr>
                              </w:p>
                            </w:txbxContent>
                          </wps:txbx>
                          <wps:bodyPr spcFirstLastPara="1" wrap="square" lIns="91425" tIns="91425" rIns="91425" bIns="91425" anchor="ctr" anchorCtr="0">
                            <a:noAutofit/>
                          </wps:bodyPr>
                        </wps:wsp>
                        <wpg:grpSp>
                          <wpg:cNvPr id="1072407746" name="Agrupar 1072407746"/>
                          <wpg:cNvGrpSpPr/>
                          <wpg:grpSpPr>
                            <a:xfrm>
                              <a:off x="2441510" y="3618710"/>
                              <a:ext cx="5802630" cy="317500"/>
                              <a:chOff x="1743" y="378"/>
                              <a:chExt cx="9138" cy="500"/>
                            </a:xfrm>
                          </wpg:grpSpPr>
                          <wps:wsp>
                            <wps:cNvPr id="1839707527" name="Retângulo 1839707527"/>
                            <wps:cNvSpPr/>
                            <wps:spPr>
                              <a:xfrm>
                                <a:off x="1743" y="378"/>
                                <a:ext cx="9125" cy="500"/>
                              </a:xfrm>
                              <a:prstGeom prst="rect">
                                <a:avLst/>
                              </a:prstGeom>
                              <a:noFill/>
                              <a:ln>
                                <a:noFill/>
                              </a:ln>
                            </wps:spPr>
                            <wps:txbx>
                              <w:txbxContent>
                                <w:p w14:paraId="428FF762" w14:textId="77777777" w:rsidR="00BE16A7" w:rsidRDefault="00BE16A7">
                                  <w:pPr>
                                    <w:spacing w:line="240" w:lineRule="auto"/>
                                    <w:jc w:val="left"/>
                                    <w:textDirection w:val="btLr"/>
                                  </w:pPr>
                                </w:p>
                              </w:txbxContent>
                            </wps:txbx>
                            <wps:bodyPr spcFirstLastPara="1" wrap="square" lIns="91425" tIns="91425" rIns="91425" bIns="91425" anchor="ctr" anchorCtr="0">
                              <a:noAutofit/>
                            </wps:bodyPr>
                          </wps:wsp>
                          <wps:wsp>
                            <wps:cNvPr id="1481541564" name="Forma Livre: Forma 1481541564"/>
                            <wps:cNvSpPr/>
                            <wps:spPr>
                              <a:xfrm>
                                <a:off x="1753" y="388"/>
                                <a:ext cx="9128" cy="488"/>
                              </a:xfrm>
                              <a:custGeom>
                                <a:avLst/>
                                <a:gdLst/>
                                <a:ahLst/>
                                <a:cxnLst/>
                                <a:rect l="l" t="t" r="r" b="b"/>
                                <a:pathLst>
                                  <a:path w="9128" h="488" extrusionOk="0">
                                    <a:moveTo>
                                      <a:pt x="9047" y="0"/>
                                    </a:moveTo>
                                    <a:lnTo>
                                      <a:pt x="81" y="0"/>
                                    </a:lnTo>
                                    <a:lnTo>
                                      <a:pt x="50" y="7"/>
                                    </a:lnTo>
                                    <a:lnTo>
                                      <a:pt x="24" y="24"/>
                                    </a:lnTo>
                                    <a:lnTo>
                                      <a:pt x="6" y="50"/>
                                    </a:lnTo>
                                    <a:lnTo>
                                      <a:pt x="0" y="82"/>
                                    </a:lnTo>
                                    <a:lnTo>
                                      <a:pt x="0" y="407"/>
                                    </a:lnTo>
                                    <a:lnTo>
                                      <a:pt x="6" y="439"/>
                                    </a:lnTo>
                                    <a:lnTo>
                                      <a:pt x="24" y="465"/>
                                    </a:lnTo>
                                    <a:lnTo>
                                      <a:pt x="50" y="482"/>
                                    </a:lnTo>
                                    <a:lnTo>
                                      <a:pt x="81" y="488"/>
                                    </a:lnTo>
                                    <a:lnTo>
                                      <a:pt x="9047" y="488"/>
                                    </a:lnTo>
                                    <a:lnTo>
                                      <a:pt x="9078" y="482"/>
                                    </a:lnTo>
                                    <a:lnTo>
                                      <a:pt x="9104" y="465"/>
                                    </a:lnTo>
                                    <a:lnTo>
                                      <a:pt x="9122" y="439"/>
                                    </a:lnTo>
                                    <a:lnTo>
                                      <a:pt x="9128" y="407"/>
                                    </a:lnTo>
                                    <a:lnTo>
                                      <a:pt x="9128" y="82"/>
                                    </a:lnTo>
                                    <a:lnTo>
                                      <a:pt x="9122" y="50"/>
                                    </a:lnTo>
                                    <a:lnTo>
                                      <a:pt x="9104" y="24"/>
                                    </a:lnTo>
                                    <a:lnTo>
                                      <a:pt x="9078" y="7"/>
                                    </a:lnTo>
                                    <a:lnTo>
                                      <a:pt x="9047" y="0"/>
                                    </a:lnTo>
                                    <a:close/>
                                  </a:path>
                                </a:pathLst>
                              </a:custGeom>
                              <a:solidFill>
                                <a:srgbClr val="F4B083"/>
                              </a:solidFill>
                              <a:ln>
                                <a:noFill/>
                              </a:ln>
                            </wps:spPr>
                            <wps:bodyPr spcFirstLastPara="1" wrap="square" lIns="91425" tIns="91425" rIns="91425" bIns="91425" anchor="ctr" anchorCtr="0">
                              <a:noAutofit/>
                            </wps:bodyPr>
                          </wps:wsp>
                          <wps:wsp>
                            <wps:cNvPr id="1562323196" name="Forma Livre: Forma 1562323196"/>
                            <wps:cNvSpPr/>
                            <wps:spPr>
                              <a:xfrm>
                                <a:off x="1753" y="388"/>
                                <a:ext cx="9128" cy="488"/>
                              </a:xfrm>
                              <a:custGeom>
                                <a:avLst/>
                                <a:gdLst/>
                                <a:ahLst/>
                                <a:cxnLst/>
                                <a:rect l="l" t="t" r="r" b="b"/>
                                <a:pathLst>
                                  <a:path w="9128" h="488" extrusionOk="0">
                                    <a:moveTo>
                                      <a:pt x="0" y="82"/>
                                    </a:moveTo>
                                    <a:lnTo>
                                      <a:pt x="6" y="50"/>
                                    </a:lnTo>
                                    <a:lnTo>
                                      <a:pt x="24" y="24"/>
                                    </a:lnTo>
                                    <a:lnTo>
                                      <a:pt x="50" y="7"/>
                                    </a:lnTo>
                                    <a:lnTo>
                                      <a:pt x="81" y="0"/>
                                    </a:lnTo>
                                    <a:lnTo>
                                      <a:pt x="9047" y="0"/>
                                    </a:lnTo>
                                    <a:lnTo>
                                      <a:pt x="9078" y="7"/>
                                    </a:lnTo>
                                    <a:lnTo>
                                      <a:pt x="9104" y="24"/>
                                    </a:lnTo>
                                    <a:lnTo>
                                      <a:pt x="9122" y="50"/>
                                    </a:lnTo>
                                    <a:lnTo>
                                      <a:pt x="9128" y="82"/>
                                    </a:lnTo>
                                    <a:lnTo>
                                      <a:pt x="9128" y="407"/>
                                    </a:lnTo>
                                    <a:lnTo>
                                      <a:pt x="9122" y="439"/>
                                    </a:lnTo>
                                    <a:lnTo>
                                      <a:pt x="9104" y="465"/>
                                    </a:lnTo>
                                    <a:lnTo>
                                      <a:pt x="9078" y="482"/>
                                    </a:lnTo>
                                    <a:lnTo>
                                      <a:pt x="9047" y="488"/>
                                    </a:lnTo>
                                    <a:lnTo>
                                      <a:pt x="81" y="488"/>
                                    </a:lnTo>
                                    <a:lnTo>
                                      <a:pt x="50" y="482"/>
                                    </a:lnTo>
                                    <a:lnTo>
                                      <a:pt x="24" y="465"/>
                                    </a:lnTo>
                                    <a:lnTo>
                                      <a:pt x="6" y="439"/>
                                    </a:lnTo>
                                    <a:lnTo>
                                      <a:pt x="0" y="407"/>
                                    </a:lnTo>
                                    <a:lnTo>
                                      <a:pt x="0" y="82"/>
                                    </a:lnTo>
                                    <a:close/>
                                  </a:path>
                                </a:pathLst>
                              </a:custGeom>
                              <a:noFill/>
                              <a:ln w="12700" cap="flat" cmpd="sng">
                                <a:solidFill>
                                  <a:srgbClr val="F4B083"/>
                                </a:solidFill>
                                <a:prstDash val="solid"/>
                                <a:round/>
                                <a:headEnd type="none" w="sm" len="sm"/>
                                <a:tailEnd type="none" w="sm" len="sm"/>
                              </a:ln>
                            </wps:spPr>
                            <wps:bodyPr spcFirstLastPara="1" wrap="square" lIns="91425" tIns="91425" rIns="91425" bIns="91425" anchor="ctr" anchorCtr="0">
                              <a:noAutofit/>
                            </wps:bodyPr>
                          </wps:wsp>
                          <wps:wsp>
                            <wps:cNvPr id="177496619" name="Retângulo 177496619"/>
                            <wps:cNvSpPr/>
                            <wps:spPr>
                              <a:xfrm>
                                <a:off x="1774" y="405"/>
                                <a:ext cx="9085" cy="455"/>
                              </a:xfrm>
                              <a:prstGeom prst="rect">
                                <a:avLst/>
                              </a:prstGeom>
                              <a:noFill/>
                              <a:ln>
                                <a:noFill/>
                              </a:ln>
                            </wps:spPr>
                            <wps:txbx>
                              <w:txbxContent>
                                <w:p w14:paraId="5D577190" w14:textId="77777777" w:rsidR="00BE16A7" w:rsidRPr="00B31529" w:rsidRDefault="00000000">
                                  <w:pPr>
                                    <w:spacing w:before="100" w:line="240" w:lineRule="auto"/>
                                    <w:ind w:left="123" w:firstLine="246"/>
                                    <w:jc w:val="left"/>
                                    <w:textDirection w:val="btLr"/>
                                    <w:rPr>
                                      <w:sz w:val="20"/>
                                      <w:szCs w:val="20"/>
                                    </w:rPr>
                                  </w:pPr>
                                  <w:r w:rsidRPr="00B31529">
                                    <w:rPr>
                                      <w:rFonts w:ascii="Arial" w:eastAsia="Arial" w:hAnsi="Arial" w:cs="Arial"/>
                                      <w:b/>
                                      <w:color w:val="000000"/>
                                      <w:sz w:val="20"/>
                                      <w:szCs w:val="20"/>
                                    </w:rPr>
                                    <w:t>Os serviços em execução, ou já finalizados, não são passíveis de contratação direta</w:t>
                                  </w:r>
                                </w:p>
                              </w:txbxContent>
                            </wps:txbx>
                            <wps:bodyPr spcFirstLastPara="1" wrap="square" lIns="0" tIns="0" rIns="0" bIns="0" anchor="t" anchorCtr="0">
                              <a:noAutofit/>
                            </wps:bodyPr>
                          </wps:wsp>
                        </wpg:grpSp>
                      </wpg:grpSp>
                    </wpg:wgp>
                  </a:graphicData>
                </a:graphic>
              </wp:anchor>
            </w:drawing>
          </mc:Choice>
          <mc:Fallback>
            <w:pict>
              <v:group w14:anchorId="675A784B" id="Agrupar 11" o:spid="_x0000_s1026" style="position:absolute;left:0;text-align:left;margin-left:0;margin-top:7.95pt;width:457.4pt;height:25.4pt;z-index:251658240;mso-wrap-distance-left:0;mso-wrap-distance-right:0" coordorigin="24415,36187" coordsize="58153,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">
                <v:group id="Agrupar 543718889" o:spid="_x0000_s1027" style="position:absolute;left:24415;top:36187;width:58089;height:3225" coordorigin="24415,36187" coordsize="5802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">
                  <v:rect id="Retângulo 286791315" o:spid="_x0000_s1028" style="position:absolute;left:24415;top:36187;width:5802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" filled="f" stroked="f">
                    <v:textbox inset="2.53958mm,2.53958mm,2.53958mm,2.53958mm">
                      <w:txbxContent>
                        <w:p w14:paraId="6C5DAB1A" w14:textId="77777777" w:rsidR="00BE16A7" w:rsidRDefault="00BE16A7">
                          <w:pPr>
                            <w:spacing w:line="240" w:lineRule="auto"/>
                            <w:jc w:val="left"/>
                            <w:textDirection w:val="btLr"/>
                          </w:pPr>
                        </w:p>
                      </w:txbxContent>
                    </v:textbox>
                  </v:rect>
                  <v:group id="Agrupar 1072407746" o:spid="_x0000_s1029" style="position:absolute;left:24415;top:36187;width:58026;height:3175" coordorigin="1743,378" coordsize="913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">
                    <v:rect id="Retângulo 1839707527" o:spid="_x0000_s1030" style="position:absolute;left:1743;top:378;width:9125;height: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" filled="f" stroked="f">
                      <v:textbox inset="2.53958mm,2.53958mm,2.53958mm,2.53958mm">
                        <w:txbxContent>
                          <w:p w14:paraId="428FF762" w14:textId="77777777" w:rsidR="00BE16A7" w:rsidRDefault="00BE16A7">
                            <w:pPr>
                              <w:spacing w:line="240" w:lineRule="auto"/>
                              <w:jc w:val="left"/>
                              <w:textDirection w:val="btLr"/>
                            </w:pPr>
                          </w:p>
                        </w:txbxContent>
                      </v:textbox>
                    </v:rect>
                    <v:shape id="Forma Livre: Forma 1481541564" o:spid="_x0000_s1031" style="position:absolute;left:1753;top:388;width:9128;height:488;visibility:visible;mso-wrap-style:square;v-text-anchor:middle" coordsize="912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" path="m9047,l81,,50,7,24,24,6,50,,82,,407r6,32l24,465r26,17l81,488r8966,l9078,482r26,-17l9122,439r6,-32l9128,82r-6,-32l9104,24,9078,7,9047,xe" fillcolor="#f4b083" stroked="f">
                      <v:path arrowok="t" o:extrusionok="f"/>
                    </v:shape>
                    <v:shape id="Forma Livre: Forma 1562323196" o:spid="_x0000_s1032" style="position:absolute;left:1753;top:388;width:9128;height:488;visibility:visible;mso-wrap-style:square;v-text-anchor:middle" coordsize="912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" path="m,82l6,50,24,24,50,7,81,,9047,r31,7l9104,24r18,26l9128,82r,325l9122,439r-18,26l9078,482r-31,6l81,488,50,482,24,465,6,439,,407,,82xe" filled="f" strokecolor="#f4b083" strokeweight="1pt">
                      <v:stroke startarrowwidth="narrow" startarrowlength="short" endarrowwidth="narrow" endarrowlength="short"/>
                      <v:path arrowok="t" o:extrusionok="f"/>
                    </v:shape>
                    <v:rect id="Retângulo 177496619" o:spid="_x0000_s1033" style="position:absolute;left:1774;top:405;width:908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" filled="f" stroked="f">
                      <v:textbox inset="0,0,0,0">
                        <w:txbxContent>
                          <w:p w14:paraId="5D577190" w14:textId="77777777" w:rsidR="00BE16A7" w:rsidRPr="00B31529" w:rsidRDefault="00000000">
                            <w:pPr>
                              <w:spacing w:before="100" w:line="240" w:lineRule="auto"/>
                              <w:ind w:left="123" w:firstLine="246"/>
                              <w:jc w:val="left"/>
                              <w:textDirection w:val="btLr"/>
                              <w:rPr>
                                <w:sz w:val="20"/>
                                <w:szCs w:val="20"/>
                              </w:rPr>
                            </w:pPr>
                            <w:r w:rsidRPr="00B31529">
                              <w:rPr>
                                <w:rFonts w:ascii="Arial" w:eastAsia="Arial" w:hAnsi="Arial" w:cs="Arial"/>
                                <w:b/>
                                <w:color w:val="000000"/>
                                <w:sz w:val="20"/>
                                <w:szCs w:val="20"/>
                              </w:rPr>
                              <w:t>Os serviços em execução, ou já finalizados, não são passíveis de contratação direta</w:t>
                            </w:r>
                          </w:p>
                        </w:txbxContent>
                      </v:textbox>
                    </v:rect>
                  </v:group>
                </v:group>
                <w10:wrap type="topAndBottom"/>
              </v:group>
            </w:pict>
          </mc:Fallback>
        </mc:AlternateContent>
      </w:r>
    </w:p>
    <w:p w14:paraId="4B041789" w14:textId="77777777" w:rsidR="00BE16A7" w:rsidRDefault="00000000">
      <w:pPr>
        <w:widowControl w:val="0"/>
        <w:spacing w:before="81"/>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Para os casos em tela, o pagamento será por reconhecimento de dívida. Sobre esse assunto, destaca-se:</w:t>
      </w:r>
    </w:p>
    <w:p w14:paraId="7707C200" w14:textId="77777777" w:rsidR="00BE16A7" w:rsidRDefault="00BE16A7">
      <w:pPr>
        <w:widowControl w:val="0"/>
        <w:spacing w:line="240" w:lineRule="auto"/>
        <w:jc w:val="left"/>
        <w:rPr>
          <w:rFonts w:ascii="Times New Roman" w:eastAsia="Times New Roman" w:hAnsi="Times New Roman" w:cs="Times New Roman"/>
          <w:sz w:val="24"/>
          <w:szCs w:val="24"/>
        </w:rPr>
      </w:pPr>
    </w:p>
    <w:p w14:paraId="7FAA7507" w14:textId="77777777" w:rsidR="00BE16A7" w:rsidRDefault="00000000">
      <w:pPr>
        <w:widowControl w:val="0"/>
        <w:numPr>
          <w:ilvl w:val="1"/>
          <w:numId w:val="1"/>
        </w:numPr>
        <w:tabs>
          <w:tab w:val="left" w:pos="2466"/>
        </w:tabs>
        <w:ind w:right="134"/>
        <w:rPr>
          <w:rFonts w:ascii="Arial" w:eastAsia="Arial" w:hAnsi="Arial" w:cs="Arial"/>
        </w:rPr>
      </w:pPr>
      <w:r>
        <w:rPr>
          <w:rFonts w:ascii="Times New Roman" w:eastAsia="Times New Roman" w:hAnsi="Times New Roman" w:cs="Times New Roman"/>
          <w:sz w:val="24"/>
          <w:szCs w:val="24"/>
        </w:rPr>
        <w:t>Pode-se definir o reconhecimento de dívida como o procedimento administrativo instaurado com o fim de indenizar o contratado de boa-fé, por serviços ou produtos entregues à Administração Pública, sem a regular cobertura contratual (ou instrumento equivalente) e sem o efetivo pagamento;</w:t>
      </w:r>
    </w:p>
    <w:p w14:paraId="495897A3" w14:textId="77777777" w:rsidR="00BE16A7" w:rsidRDefault="00BE16A7">
      <w:pPr>
        <w:widowControl w:val="0"/>
        <w:spacing w:before="1" w:line="240" w:lineRule="auto"/>
        <w:jc w:val="left"/>
        <w:rPr>
          <w:rFonts w:ascii="Times New Roman" w:eastAsia="Times New Roman" w:hAnsi="Times New Roman" w:cs="Times New Roman"/>
          <w:sz w:val="24"/>
          <w:szCs w:val="24"/>
        </w:rPr>
      </w:pPr>
    </w:p>
    <w:p w14:paraId="54313CC7" w14:textId="77777777" w:rsidR="00B31529" w:rsidRDefault="00B31529">
      <w:pPr>
        <w:widowControl w:val="0"/>
        <w:spacing w:before="1" w:line="240" w:lineRule="auto"/>
        <w:jc w:val="left"/>
        <w:rPr>
          <w:rFonts w:ascii="Times New Roman" w:eastAsia="Times New Roman" w:hAnsi="Times New Roman" w:cs="Times New Roman"/>
          <w:sz w:val="24"/>
          <w:szCs w:val="24"/>
        </w:rPr>
      </w:pPr>
    </w:p>
    <w:p w14:paraId="66BE190F" w14:textId="77777777" w:rsidR="00BE16A7" w:rsidRDefault="00000000">
      <w:pPr>
        <w:widowControl w:val="0"/>
        <w:numPr>
          <w:ilvl w:val="1"/>
          <w:numId w:val="1"/>
        </w:numPr>
        <w:tabs>
          <w:tab w:val="left" w:pos="2466"/>
        </w:tabs>
        <w:ind w:right="136"/>
        <w:rPr>
          <w:rFonts w:ascii="Arial" w:eastAsia="Arial" w:hAnsi="Arial" w:cs="Arial"/>
        </w:rPr>
      </w:pPr>
      <w:r>
        <w:rPr>
          <w:rFonts w:ascii="Times New Roman" w:eastAsia="Times New Roman" w:hAnsi="Times New Roman" w:cs="Times New Roman"/>
          <w:sz w:val="24"/>
          <w:szCs w:val="24"/>
        </w:rPr>
        <w:lastRenderedPageBreak/>
        <w:t>O art. 149 da lei 14.133/2021 determina que a administração apure a responsabilidade do servidor que deu causa à prestação de serviço sem cobertura contratual (ou instrumento equivalente), e aplique a sanção administrativa cabível ao referido infrator, quando for o caso.</w:t>
      </w:r>
    </w:p>
    <w:p w14:paraId="25D45447" w14:textId="77777777" w:rsidR="00BE16A7" w:rsidRDefault="00BE16A7">
      <w:pPr>
        <w:widowControl w:val="0"/>
        <w:spacing w:before="1" w:line="240" w:lineRule="auto"/>
        <w:jc w:val="left"/>
        <w:rPr>
          <w:rFonts w:ascii="Times New Roman" w:eastAsia="Times New Roman" w:hAnsi="Times New Roman" w:cs="Times New Roman"/>
          <w:sz w:val="24"/>
          <w:szCs w:val="24"/>
        </w:rPr>
      </w:pPr>
    </w:p>
    <w:p w14:paraId="5DB1FCFC" w14:textId="77777777" w:rsidR="00BE16A7" w:rsidRDefault="00000000">
      <w:pPr>
        <w:widowControl w:val="0"/>
        <w:numPr>
          <w:ilvl w:val="1"/>
          <w:numId w:val="1"/>
        </w:numPr>
        <w:tabs>
          <w:tab w:val="left" w:pos="2466"/>
        </w:tabs>
        <w:ind w:right="136"/>
        <w:rPr>
          <w:rFonts w:ascii="Arial" w:eastAsia="Arial" w:hAnsi="Arial" w:cs="Arial"/>
        </w:rPr>
      </w:pPr>
      <w:r>
        <w:rPr>
          <w:rFonts w:ascii="Times New Roman" w:eastAsia="Times New Roman" w:hAnsi="Times New Roman" w:cs="Times New Roman"/>
          <w:sz w:val="24"/>
          <w:szCs w:val="24"/>
        </w:rPr>
        <w:t>Configurada a necessidade de pagamento por reconhecimento de dívida, o responsável pela contratação deverá informar à Coordenação de Licitação (CL/DCOS), para que esta possa interromper o processo de contratação direta que estiver em andamento.</w:t>
      </w:r>
    </w:p>
    <w:p w14:paraId="10433D8B" w14:textId="77777777" w:rsidR="00BE16A7" w:rsidRDefault="00BE16A7">
      <w:pPr>
        <w:widowControl w:val="0"/>
        <w:spacing w:before="11" w:line="240" w:lineRule="auto"/>
        <w:jc w:val="left"/>
        <w:rPr>
          <w:rFonts w:ascii="Times New Roman" w:eastAsia="Times New Roman" w:hAnsi="Times New Roman" w:cs="Times New Roman"/>
          <w:sz w:val="24"/>
          <w:szCs w:val="24"/>
        </w:rPr>
      </w:pPr>
    </w:p>
    <w:p w14:paraId="7E9CC9D8" w14:textId="43B29D68" w:rsidR="00BE16A7" w:rsidRDefault="00000000">
      <w:pPr>
        <w:widowControl w:val="0"/>
        <w:numPr>
          <w:ilvl w:val="1"/>
          <w:numId w:val="1"/>
        </w:numPr>
        <w:tabs>
          <w:tab w:val="left" w:pos="2466"/>
          <w:tab w:val="left" w:pos="4372"/>
          <w:tab w:val="left" w:pos="6593"/>
          <w:tab w:val="left" w:pos="8206"/>
          <w:tab w:val="left" w:pos="9341"/>
        </w:tabs>
        <w:ind w:right="137"/>
        <w:rPr>
          <w:rFonts w:ascii="Arial" w:eastAsia="Arial" w:hAnsi="Arial" w:cs="Arial"/>
        </w:rPr>
      </w:pPr>
      <w:r>
        <w:rPr>
          <w:rFonts w:ascii="Times New Roman" w:eastAsia="Times New Roman" w:hAnsi="Times New Roman" w:cs="Times New Roman"/>
          <w:sz w:val="24"/>
          <w:szCs w:val="24"/>
        </w:rPr>
        <w:t>Em seguida, deve-se buscar orientações junto à Coordenação de Gestão Contratual</w:t>
      </w:r>
      <w:r w:rsidR="00B31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(CGC/DCOS)</w:t>
      </w:r>
      <w:r w:rsidR="00B31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através</w:t>
      </w:r>
      <w:r w:rsidR="00B31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do</w:t>
      </w:r>
      <w:r w:rsidR="00B31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e-mail: “</w:t>
      </w:r>
      <w:hyperlink r:id="rId9">
        <w:r w:rsidRPr="00B31529">
          <w:rPr>
            <w:rFonts w:ascii="Times New Roman" w:eastAsia="Times New Roman" w:hAnsi="Times New Roman" w:cs="Times New Roman"/>
            <w:color w:val="0563C1"/>
            <w:sz w:val="24"/>
            <w:szCs w:val="24"/>
            <w:u w:val="single"/>
          </w:rPr>
          <w:t>gestaocontratual.dcos.proad@ufes.br</w:t>
        </w:r>
      </w:hyperlink>
      <w:r>
        <w:rPr>
          <w:rFonts w:ascii="Times New Roman" w:eastAsia="Times New Roman" w:hAnsi="Times New Roman" w:cs="Times New Roman"/>
          <w:sz w:val="24"/>
          <w:szCs w:val="24"/>
        </w:rPr>
        <w:t>”.</w:t>
      </w:r>
    </w:p>
    <w:p w14:paraId="5FF86731" w14:textId="77777777" w:rsidR="00BE16A7" w:rsidRDefault="00BE16A7">
      <w:pPr>
        <w:rPr>
          <w:rFonts w:ascii="Times New Roman" w:eastAsia="Times New Roman" w:hAnsi="Times New Roman" w:cs="Times New Roman"/>
          <w:sz w:val="24"/>
          <w:szCs w:val="24"/>
        </w:rPr>
      </w:pPr>
    </w:p>
    <w:p w14:paraId="579BA93A" w14:textId="77777777" w:rsidR="00BE16A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Normativos </w:t>
      </w:r>
    </w:p>
    <w:p w14:paraId="09B7FB87" w14:textId="77777777" w:rsidR="00BE16A7" w:rsidRDefault="00BE16A7">
      <w:pPr>
        <w:rPr>
          <w:rFonts w:ascii="Times New Roman" w:eastAsia="Times New Roman" w:hAnsi="Times New Roman" w:cs="Times New Roman"/>
          <w:sz w:val="24"/>
          <w:szCs w:val="24"/>
        </w:rPr>
      </w:pPr>
    </w:p>
    <w:p w14:paraId="72391B45"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Destacamos, inicialmente, os normativos que regem a matéria:</w:t>
      </w:r>
    </w:p>
    <w:p w14:paraId="13D80CDF" w14:textId="77777777" w:rsidR="00BE16A7" w:rsidRDefault="00BE16A7">
      <w:pPr>
        <w:ind w:firstLine="709"/>
        <w:rPr>
          <w:rFonts w:ascii="Times New Roman" w:eastAsia="Times New Roman" w:hAnsi="Times New Roman" w:cs="Times New Roman"/>
          <w:sz w:val="24"/>
          <w:szCs w:val="24"/>
        </w:rPr>
      </w:pPr>
    </w:p>
    <w:p w14:paraId="62728294" w14:textId="77777777" w:rsidR="00BE16A7" w:rsidRDefault="00000000" w:rsidP="00B3152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 nº 14.133, de 1º de abril de 2021, dispõe sobre licitações e contratos administrativos </w:t>
      </w:r>
    </w:p>
    <w:p w14:paraId="5E08511D" w14:textId="77777777" w:rsidR="00BE16A7" w:rsidRDefault="00000000">
      <w:pPr>
        <w:rPr>
          <w:rFonts w:ascii="Times New Roman" w:eastAsia="Times New Roman" w:hAnsi="Times New Roman" w:cs="Times New Roman"/>
          <w:sz w:val="24"/>
          <w:szCs w:val="24"/>
        </w:rPr>
      </w:pPr>
      <w:hyperlink r:id="rId10">
        <w:r>
          <w:rPr>
            <w:rFonts w:ascii="Times New Roman" w:eastAsia="Times New Roman" w:hAnsi="Times New Roman" w:cs="Times New Roman"/>
            <w:color w:val="0563C1"/>
            <w:sz w:val="24"/>
            <w:szCs w:val="24"/>
            <w:u w:val="single"/>
          </w:rPr>
          <w:t>http://www.planalto.gov.br/ccivil_03/_ato2019-2022/2021/lei/L14133.htm</w:t>
        </w:r>
      </w:hyperlink>
    </w:p>
    <w:p w14:paraId="001CAE37" w14:textId="77777777" w:rsidR="00BE16A7" w:rsidRDefault="00BE16A7">
      <w:pPr>
        <w:rPr>
          <w:rFonts w:ascii="Times New Roman" w:eastAsia="Times New Roman" w:hAnsi="Times New Roman" w:cs="Times New Roman"/>
          <w:sz w:val="24"/>
          <w:szCs w:val="24"/>
        </w:rPr>
      </w:pPr>
    </w:p>
    <w:p w14:paraId="67541DF0" w14:textId="77777777" w:rsidR="00BE16A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Instrução normativa SEGES/ME nº 65, de 7 de julho de 2021, dispõe sobre a pesquisa de preços para aquisição de bens e contratação de serviços em geral</w:t>
      </w:r>
    </w:p>
    <w:p w14:paraId="210D759B" w14:textId="77777777" w:rsidR="00BE16A7" w:rsidRDefault="00000000">
      <w:pPr>
        <w:rPr>
          <w:rFonts w:ascii="Times New Roman" w:eastAsia="Times New Roman" w:hAnsi="Times New Roman" w:cs="Times New Roman"/>
          <w:sz w:val="24"/>
          <w:szCs w:val="24"/>
        </w:rPr>
      </w:pPr>
      <w:hyperlink r:id="rId11">
        <w:r>
          <w:rPr>
            <w:rFonts w:ascii="Times New Roman" w:eastAsia="Times New Roman" w:hAnsi="Times New Roman" w:cs="Times New Roman"/>
            <w:color w:val="0563C1"/>
            <w:sz w:val="24"/>
            <w:szCs w:val="24"/>
            <w:u w:val="single"/>
          </w:rPr>
          <w:t>https://www.gov.br/plataformamaisbrasil/pt-br/legislacao-geral/instrucoes-normativas/instrucao-normativa-seges-me-no-65-de-7-de-julho-de-2021</w:t>
        </w:r>
      </w:hyperlink>
      <w:r>
        <w:rPr>
          <w:rFonts w:ascii="Times New Roman" w:eastAsia="Times New Roman" w:hAnsi="Times New Roman" w:cs="Times New Roman"/>
          <w:sz w:val="24"/>
          <w:szCs w:val="24"/>
        </w:rPr>
        <w:t xml:space="preserve"> </w:t>
      </w:r>
    </w:p>
    <w:p w14:paraId="1C656F03" w14:textId="77777777" w:rsidR="00BE16A7" w:rsidRDefault="00BE16A7">
      <w:pPr>
        <w:rPr>
          <w:rFonts w:ascii="Times New Roman" w:eastAsia="Times New Roman" w:hAnsi="Times New Roman" w:cs="Times New Roman"/>
          <w:sz w:val="24"/>
          <w:szCs w:val="24"/>
        </w:rPr>
      </w:pPr>
    </w:p>
    <w:p w14:paraId="7A60864D" w14:textId="77777777" w:rsidR="00BE16A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Instrução normativa SEGES/ME nº 67, de 8 de julho de 2021, dispõe sobre a dispensa de licitação, na forma eletrônica</w:t>
      </w:r>
    </w:p>
    <w:p w14:paraId="640D2B5C" w14:textId="77777777" w:rsidR="00BE16A7" w:rsidRDefault="00000000">
      <w:pPr>
        <w:rPr>
          <w:rFonts w:ascii="Times New Roman" w:eastAsia="Times New Roman" w:hAnsi="Times New Roman" w:cs="Times New Roman"/>
          <w:sz w:val="24"/>
          <w:szCs w:val="24"/>
        </w:rPr>
      </w:pPr>
      <w:hyperlink r:id="rId12">
        <w:r>
          <w:rPr>
            <w:rFonts w:ascii="Times New Roman" w:eastAsia="Times New Roman" w:hAnsi="Times New Roman" w:cs="Times New Roman"/>
            <w:color w:val="0563C1"/>
            <w:sz w:val="24"/>
            <w:szCs w:val="24"/>
            <w:u w:val="single"/>
          </w:rPr>
          <w:t>https://www.gov.br/compras/pt-br/acesso-a-informacao/legislacao/instrucoes-normativas/instrucao-normativa-seges-me-no-67-de-8-de-julho-de-2021</w:t>
        </w:r>
      </w:hyperlink>
      <w:r>
        <w:rPr>
          <w:rFonts w:ascii="Times New Roman" w:eastAsia="Times New Roman" w:hAnsi="Times New Roman" w:cs="Times New Roman"/>
          <w:sz w:val="24"/>
          <w:szCs w:val="24"/>
        </w:rPr>
        <w:t xml:space="preserve"> </w:t>
      </w:r>
    </w:p>
    <w:p w14:paraId="68455E22" w14:textId="77777777" w:rsidR="00BE16A7" w:rsidRDefault="00BE16A7">
      <w:pPr>
        <w:rPr>
          <w:rFonts w:ascii="Times New Roman" w:eastAsia="Times New Roman" w:hAnsi="Times New Roman" w:cs="Times New Roman"/>
          <w:sz w:val="24"/>
          <w:szCs w:val="24"/>
        </w:rPr>
      </w:pPr>
    </w:p>
    <w:p w14:paraId="483925E7" w14:textId="77777777" w:rsidR="00BE16A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Instrução normativa SEGES/ME nº 72, de 12 de agosto de 2021, autoriza a aplicação do Decreto nº 7.983/2013 para a definição do valor estimado nos processos de contratação direta de obras e serviços de engenharia </w:t>
      </w:r>
    </w:p>
    <w:p w14:paraId="536FE9CE" w14:textId="77777777" w:rsidR="00BE16A7" w:rsidRDefault="00000000">
      <w:pPr>
        <w:rPr>
          <w:rFonts w:ascii="Times New Roman" w:eastAsia="Times New Roman" w:hAnsi="Times New Roman" w:cs="Times New Roman"/>
          <w:sz w:val="24"/>
          <w:szCs w:val="24"/>
        </w:rPr>
      </w:pPr>
      <w:hyperlink r:id="rId13">
        <w:r>
          <w:rPr>
            <w:rFonts w:ascii="Times New Roman" w:eastAsia="Times New Roman" w:hAnsi="Times New Roman" w:cs="Times New Roman"/>
            <w:color w:val="0563C1"/>
            <w:sz w:val="24"/>
            <w:szCs w:val="24"/>
            <w:u w:val="single"/>
          </w:rPr>
          <w:t>https://www.gov.br/compras/pt-br/acesso-a-informacao/legislacao/instrucoes-normativas/instrucao-normativa-seges-me-no-72-de-12-de-agosto-de-2021</w:t>
        </w:r>
      </w:hyperlink>
      <w:r>
        <w:rPr>
          <w:rFonts w:ascii="Times New Roman" w:eastAsia="Times New Roman" w:hAnsi="Times New Roman" w:cs="Times New Roman"/>
          <w:sz w:val="24"/>
          <w:szCs w:val="24"/>
        </w:rPr>
        <w:t xml:space="preserve"> </w:t>
      </w:r>
    </w:p>
    <w:p w14:paraId="07696A57" w14:textId="77777777" w:rsidR="00BE16A7" w:rsidRDefault="00BE16A7">
      <w:pPr>
        <w:rPr>
          <w:rFonts w:ascii="Times New Roman" w:eastAsia="Times New Roman" w:hAnsi="Times New Roman" w:cs="Times New Roman"/>
          <w:sz w:val="24"/>
          <w:szCs w:val="24"/>
        </w:rPr>
      </w:pPr>
    </w:p>
    <w:p w14:paraId="722151A9" w14:textId="77777777" w:rsidR="00BE16A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Decreto nº 7.983, de 8 de abril de 2013, estabelece regras e critérios para elaboração do orçamento de referência de obras e serviços de engenharia</w:t>
      </w:r>
    </w:p>
    <w:p w14:paraId="0346BA3B" w14:textId="77777777" w:rsidR="00BE16A7" w:rsidRDefault="00000000">
      <w:pPr>
        <w:rPr>
          <w:rFonts w:ascii="Times New Roman" w:eastAsia="Times New Roman" w:hAnsi="Times New Roman" w:cs="Times New Roman"/>
          <w:sz w:val="24"/>
          <w:szCs w:val="24"/>
        </w:rPr>
      </w:pPr>
      <w:hyperlink r:id="rId14">
        <w:r>
          <w:rPr>
            <w:rFonts w:ascii="Times New Roman" w:eastAsia="Times New Roman" w:hAnsi="Times New Roman" w:cs="Times New Roman"/>
            <w:color w:val="0563C1"/>
            <w:sz w:val="24"/>
            <w:szCs w:val="24"/>
            <w:u w:val="single"/>
          </w:rPr>
          <w:t>http://www.planalto.gov.br/ccivil_03/_ato2011-2014/2013/decreto/d7983.htm</w:t>
        </w:r>
      </w:hyperlink>
      <w:r>
        <w:rPr>
          <w:rFonts w:ascii="Times New Roman" w:eastAsia="Times New Roman" w:hAnsi="Times New Roman" w:cs="Times New Roman"/>
          <w:sz w:val="24"/>
          <w:szCs w:val="24"/>
        </w:rPr>
        <w:t xml:space="preserve"> </w:t>
      </w:r>
    </w:p>
    <w:p w14:paraId="4B632A65" w14:textId="77777777" w:rsidR="00BE16A7" w:rsidRDefault="00BE16A7">
      <w:pPr>
        <w:rPr>
          <w:rFonts w:ascii="Times New Roman" w:eastAsia="Times New Roman" w:hAnsi="Times New Roman" w:cs="Times New Roman"/>
          <w:sz w:val="24"/>
          <w:szCs w:val="24"/>
        </w:rPr>
      </w:pPr>
    </w:p>
    <w:p w14:paraId="365E510A" w14:textId="77777777" w:rsidR="00BE16A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Instrução normativa SEGES/ME nº 81, de 25 de novembro de 2022, dispõe sobre a elaboração do Termo de Referência – TR, e sobre o Sistema TR digital</w:t>
      </w:r>
    </w:p>
    <w:p w14:paraId="5B57D023" w14:textId="77777777" w:rsidR="00BE16A7" w:rsidRDefault="00000000">
      <w:pPr>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https://www.gov.br/compras/pt-br/acesso-a-informacao/legislacao/instrucoes-normativas/instrucao-normativa-seges-me-no-81-de-25-de-novembro-de-2022</w:t>
        </w:r>
      </w:hyperlink>
      <w:r>
        <w:rPr>
          <w:rFonts w:ascii="Times New Roman" w:eastAsia="Times New Roman" w:hAnsi="Times New Roman" w:cs="Times New Roman"/>
          <w:sz w:val="24"/>
          <w:szCs w:val="24"/>
        </w:rPr>
        <w:t xml:space="preserve"> </w:t>
      </w:r>
    </w:p>
    <w:p w14:paraId="52D8B0F2" w14:textId="77777777" w:rsidR="00BE16A7" w:rsidRDefault="00BE16A7">
      <w:pPr>
        <w:ind w:firstLine="709"/>
        <w:rPr>
          <w:rFonts w:ascii="Times New Roman" w:eastAsia="Times New Roman" w:hAnsi="Times New Roman" w:cs="Times New Roman"/>
          <w:sz w:val="24"/>
          <w:szCs w:val="24"/>
        </w:rPr>
      </w:pPr>
    </w:p>
    <w:p w14:paraId="5E0912C6" w14:textId="77777777" w:rsidR="00BE16A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Instrução Processual </w:t>
      </w:r>
    </w:p>
    <w:p w14:paraId="1D220E1F" w14:textId="77777777" w:rsidR="00BE16A7" w:rsidRDefault="00BE16A7">
      <w:pPr>
        <w:ind w:firstLine="709"/>
        <w:rPr>
          <w:rFonts w:ascii="Times New Roman" w:eastAsia="Times New Roman" w:hAnsi="Times New Roman" w:cs="Times New Roman"/>
          <w:sz w:val="24"/>
          <w:szCs w:val="24"/>
        </w:rPr>
      </w:pPr>
    </w:p>
    <w:p w14:paraId="3E848D15"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setor requisitante deve autuar processo administrativo digital com </w:t>
      </w:r>
      <w:r>
        <w:rPr>
          <w:rFonts w:ascii="Times New Roman" w:eastAsia="Times New Roman" w:hAnsi="Times New Roman" w:cs="Times New Roman"/>
          <w:b/>
          <w:sz w:val="24"/>
          <w:szCs w:val="24"/>
        </w:rPr>
        <w:t>antecedência mínima de 90 (noventa) dias da data prevista para execução dos serviço</w:t>
      </w:r>
      <w:r>
        <w:rPr>
          <w:rFonts w:ascii="Times New Roman" w:eastAsia="Times New Roman" w:hAnsi="Times New Roman" w:cs="Times New Roman"/>
          <w:sz w:val="24"/>
          <w:szCs w:val="24"/>
        </w:rPr>
        <w:t>s. O prazo informado é estimado com base em condições normais de trabalho da CL/DCOS.</w:t>
      </w:r>
    </w:p>
    <w:p w14:paraId="32D4B12B" w14:textId="77777777" w:rsidR="00B31529" w:rsidRDefault="00B31529">
      <w:pPr>
        <w:ind w:firstLine="709"/>
        <w:rPr>
          <w:rFonts w:ascii="Times New Roman" w:eastAsia="Times New Roman" w:hAnsi="Times New Roman" w:cs="Times New Roman"/>
          <w:sz w:val="24"/>
          <w:szCs w:val="24"/>
        </w:rPr>
      </w:pPr>
    </w:p>
    <w:p w14:paraId="7E2545F4"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Em consonância à legislação vigente, o processo deve ser instruído com os seguintes documentos:</w:t>
      </w:r>
    </w:p>
    <w:p w14:paraId="4DD4AE31" w14:textId="77777777" w:rsidR="00B31529" w:rsidRDefault="00B31529">
      <w:pPr>
        <w:ind w:firstLine="709"/>
        <w:rPr>
          <w:rFonts w:ascii="Times New Roman" w:eastAsia="Times New Roman" w:hAnsi="Times New Roman" w:cs="Times New Roman"/>
          <w:sz w:val="24"/>
          <w:szCs w:val="24"/>
        </w:rPr>
      </w:pPr>
    </w:p>
    <w:tbl>
      <w:tblPr>
        <w:tblStyle w:val="a"/>
        <w:tblW w:w="46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tblGrid>
      <w:tr w:rsidR="00BE16A7" w14:paraId="5EC8EF8F" w14:textId="77777777">
        <w:trPr>
          <w:jc w:val="center"/>
        </w:trPr>
        <w:tc>
          <w:tcPr>
            <w:tcW w:w="4673" w:type="dxa"/>
            <w:shd w:val="clear" w:color="auto" w:fill="8EAADB"/>
          </w:tcPr>
          <w:p w14:paraId="76F98DFC" w14:textId="77777777" w:rsidR="00BE16A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DISPENSA ELETRÔNICA</w:t>
            </w:r>
          </w:p>
        </w:tc>
      </w:tr>
      <w:tr w:rsidR="00BE16A7" w14:paraId="2716D2BD" w14:textId="77777777">
        <w:trPr>
          <w:jc w:val="center"/>
        </w:trPr>
        <w:tc>
          <w:tcPr>
            <w:tcW w:w="4673" w:type="dxa"/>
            <w:shd w:val="clear" w:color="auto" w:fill="D9E2F3"/>
          </w:tcPr>
          <w:p w14:paraId="5D9B3A42"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Documento de Formalização de Demanda</w:t>
            </w:r>
          </w:p>
        </w:tc>
      </w:tr>
      <w:tr w:rsidR="00BE16A7" w14:paraId="4CD426B5" w14:textId="77777777">
        <w:trPr>
          <w:jc w:val="center"/>
        </w:trPr>
        <w:tc>
          <w:tcPr>
            <w:tcW w:w="4673" w:type="dxa"/>
            <w:shd w:val="clear" w:color="auto" w:fill="D9E2F3"/>
          </w:tcPr>
          <w:p w14:paraId="319F718E"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Termo de Referência </w:t>
            </w:r>
          </w:p>
        </w:tc>
      </w:tr>
      <w:tr w:rsidR="00BE16A7" w14:paraId="34B1DEB8" w14:textId="77777777">
        <w:trPr>
          <w:jc w:val="center"/>
        </w:trPr>
        <w:tc>
          <w:tcPr>
            <w:tcW w:w="4673" w:type="dxa"/>
            <w:shd w:val="clear" w:color="auto" w:fill="D9E2F3"/>
          </w:tcPr>
          <w:p w14:paraId="01DDCA98"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 Pesquisa de preços</w:t>
            </w:r>
          </w:p>
        </w:tc>
      </w:tr>
      <w:tr w:rsidR="00BE16A7" w14:paraId="49A580AF" w14:textId="77777777">
        <w:trPr>
          <w:jc w:val="center"/>
        </w:trPr>
        <w:tc>
          <w:tcPr>
            <w:tcW w:w="4673" w:type="dxa"/>
            <w:shd w:val="clear" w:color="auto" w:fill="D9E2F3"/>
          </w:tcPr>
          <w:p w14:paraId="26BA06D9" w14:textId="191AA5BB"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31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documento que materializa a pesquisa </w:t>
            </w:r>
          </w:p>
        </w:tc>
      </w:tr>
      <w:tr w:rsidR="00BE16A7" w14:paraId="45FCCD6A" w14:textId="77777777">
        <w:trPr>
          <w:jc w:val="center"/>
        </w:trPr>
        <w:tc>
          <w:tcPr>
            <w:tcW w:w="4673" w:type="dxa"/>
            <w:shd w:val="clear" w:color="auto" w:fill="D9E2F3"/>
          </w:tcPr>
          <w:p w14:paraId="6D4688D9"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Lista de verificação</w:t>
            </w:r>
          </w:p>
        </w:tc>
      </w:tr>
    </w:tbl>
    <w:p w14:paraId="0E613A98" w14:textId="77777777" w:rsidR="00BE16A7" w:rsidRDefault="00BE16A7">
      <w:pPr>
        <w:rPr>
          <w:rFonts w:ascii="Times New Roman" w:eastAsia="Times New Roman" w:hAnsi="Times New Roman" w:cs="Times New Roman"/>
          <w:b/>
          <w:sz w:val="24"/>
          <w:szCs w:val="24"/>
        </w:rPr>
      </w:pPr>
    </w:p>
    <w:p w14:paraId="65787620" w14:textId="77777777" w:rsidR="00B31529" w:rsidRDefault="00B31529">
      <w:pPr>
        <w:rPr>
          <w:rFonts w:ascii="Times New Roman" w:eastAsia="Times New Roman" w:hAnsi="Times New Roman" w:cs="Times New Roman"/>
          <w:b/>
          <w:sz w:val="24"/>
          <w:szCs w:val="24"/>
        </w:rPr>
      </w:pPr>
    </w:p>
    <w:p w14:paraId="3561AAC3" w14:textId="77777777" w:rsidR="00B31529" w:rsidRDefault="00B31529">
      <w:pPr>
        <w:rPr>
          <w:rFonts w:ascii="Times New Roman" w:eastAsia="Times New Roman" w:hAnsi="Times New Roman" w:cs="Times New Roman"/>
          <w:b/>
          <w:sz w:val="24"/>
          <w:szCs w:val="24"/>
        </w:rPr>
      </w:pPr>
    </w:p>
    <w:p w14:paraId="12D022F0" w14:textId="77777777" w:rsidR="00B31529" w:rsidRDefault="00B31529">
      <w:pPr>
        <w:rPr>
          <w:rFonts w:ascii="Times New Roman" w:eastAsia="Times New Roman" w:hAnsi="Times New Roman" w:cs="Times New Roman"/>
          <w:b/>
          <w:sz w:val="24"/>
          <w:szCs w:val="24"/>
        </w:rPr>
      </w:pPr>
    </w:p>
    <w:p w14:paraId="01D9BC54" w14:textId="77777777" w:rsidR="00B31529" w:rsidRDefault="00B31529">
      <w:pPr>
        <w:rPr>
          <w:rFonts w:ascii="Times New Roman" w:eastAsia="Times New Roman" w:hAnsi="Times New Roman" w:cs="Times New Roman"/>
          <w:b/>
          <w:sz w:val="24"/>
          <w:szCs w:val="24"/>
        </w:rPr>
      </w:pPr>
    </w:p>
    <w:p w14:paraId="43119FF4" w14:textId="77777777" w:rsidR="00BE16A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 Documento de Formalização da Demanda</w:t>
      </w:r>
    </w:p>
    <w:p w14:paraId="1632191A" w14:textId="77777777" w:rsidR="00BE16A7" w:rsidRDefault="00BE16A7">
      <w:pPr>
        <w:ind w:firstLine="709"/>
        <w:rPr>
          <w:rFonts w:ascii="Times New Roman" w:eastAsia="Times New Roman" w:hAnsi="Times New Roman" w:cs="Times New Roman"/>
          <w:sz w:val="24"/>
          <w:szCs w:val="24"/>
          <w:highlight w:val="yellow"/>
        </w:rPr>
      </w:pPr>
    </w:p>
    <w:p w14:paraId="1AF9BC89" w14:textId="77777777" w:rsidR="00BE16A7" w:rsidRDefault="00000000">
      <w:pPr>
        <w:spacing w:after="16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 Documento de Formalização da Demanda (DFD) é o procedimento inicial do planejamento da contratação. É aquele que formaliza a demanda da unidade requerente.</w:t>
      </w:r>
    </w:p>
    <w:p w14:paraId="79C28F2F" w14:textId="77777777" w:rsidR="00BE16A7" w:rsidRDefault="00000000">
      <w:pPr>
        <w:spacing w:after="16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Deverá ser preenchido via site “ https://www.gov.br/compras/pt-br/”, e corresponderá ao cadastramento do serviço no Plano de Contratações Anuais (PCA). </w:t>
      </w:r>
    </w:p>
    <w:p w14:paraId="37FBFFDA" w14:textId="77777777" w:rsidR="00BE16A7" w:rsidRDefault="00000000">
      <w:pPr>
        <w:spacing w:after="16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Ao final do cadastramento do serviço no PCA, o DFD deve ser baixado do sistema do Governo Federal, e juntado ao processo.</w:t>
      </w:r>
    </w:p>
    <w:p w14:paraId="599318BF" w14:textId="11EB1E07" w:rsidR="00BE16A7" w:rsidRDefault="00000000">
      <w:pPr>
        <w:spacing w:before="280" w:after="28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Anexo I, instruções para a criação do DFD, detalha o cadastramento do DFD no Portal de Compras do Governo Federal. Link de acesso em </w:t>
      </w:r>
      <w:hyperlink r:id="rId16" w:history="1">
        <w:r w:rsidR="00521BD2" w:rsidRPr="00521BD2">
          <w:rPr>
            <w:rStyle w:val="Hyperlink"/>
            <w:rFonts w:ascii="Times New Roman" w:eastAsia="Times New Roman" w:hAnsi="Times New Roman" w:cs="Times New Roman"/>
            <w:sz w:val="24"/>
            <w:szCs w:val="24"/>
          </w:rPr>
          <w:t>https://comprasecontratacoes.ufes.br/sites/comprasecontratacoes.ufes.br/files/field/anexo/anexo_i_-_instrucao_para_criacao_do_dfd.pdf</w:t>
        </w:r>
      </w:hyperlink>
    </w:p>
    <w:p w14:paraId="7B294D52" w14:textId="77777777" w:rsidR="00BE16A7" w:rsidRDefault="00000000" w:rsidP="00521BD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As demandas que ainda não estejam previstas no PCA vigente devem ser cadastradas pelo setor requisitante antes do envio do processo à CL/DCOS.</w:t>
      </w:r>
    </w:p>
    <w:p w14:paraId="7A883F3E" w14:textId="77777777" w:rsidR="00BE16A7" w:rsidRDefault="00BE16A7">
      <w:pPr>
        <w:ind w:left="720"/>
        <w:rPr>
          <w:rFonts w:ascii="Times New Roman" w:eastAsia="Times New Roman" w:hAnsi="Times New Roman" w:cs="Times New Roman"/>
          <w:sz w:val="24"/>
          <w:szCs w:val="24"/>
        </w:rPr>
      </w:pPr>
    </w:p>
    <w:p w14:paraId="0C0ADDB8" w14:textId="347C55DF" w:rsidR="00BE16A7" w:rsidRDefault="00000000" w:rsidP="00521BD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 Para obter o perfil de acesso ao Sistema PGC: o requisitante deve autuar documento avulso com formulário de cadastro de operador preenchido com a solicitação de inclusão do perfil PAC-REQ (</w:t>
      </w:r>
      <w:r w:rsidRPr="00521BD2">
        <w:rPr>
          <w:rFonts w:ascii="Times New Roman" w:eastAsia="Times New Roman" w:hAnsi="Times New Roman" w:cs="Times New Roman"/>
          <w:sz w:val="24"/>
          <w:szCs w:val="24"/>
        </w:rPr>
        <w:t>Anexo II,</w:t>
      </w:r>
      <w:r>
        <w:rPr>
          <w:rFonts w:ascii="Times New Roman" w:eastAsia="Times New Roman" w:hAnsi="Times New Roman" w:cs="Times New Roman"/>
          <w:sz w:val="24"/>
          <w:szCs w:val="24"/>
        </w:rPr>
        <w:t xml:space="preserve"> disponível no link de</w:t>
      </w:r>
      <w:r w:rsidR="00521B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acesso: </w:t>
      </w:r>
      <w:hyperlink r:id="rId17" w:history="1">
        <w:r w:rsidR="00521BD2" w:rsidRPr="00521BD2">
          <w:rPr>
            <w:rStyle w:val="Hyperlink"/>
            <w:rFonts w:ascii="Times New Roman" w:eastAsia="Times New Roman" w:hAnsi="Times New Roman" w:cs="Times New Roman"/>
            <w:sz w:val="24"/>
            <w:szCs w:val="24"/>
          </w:rPr>
          <w:t>https://comprasecontratacoes.ufes.br/sites/comprasecontratacoes.ufes.br/files/field/anexo/anexo_ii_-_formulario_para_cadastro_de_operador.docx</w:t>
        </w:r>
      </w:hyperlink>
      <w:r>
        <w:rPr>
          <w:rFonts w:ascii="Times New Roman" w:eastAsia="Times New Roman" w:hAnsi="Times New Roman" w:cs="Times New Roman"/>
          <w:sz w:val="24"/>
          <w:szCs w:val="24"/>
        </w:rPr>
        <w:t xml:space="preserve">); </w:t>
      </w:r>
      <w:r w:rsidR="00521B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submeter à autorização da </w:t>
      </w:r>
      <w:proofErr w:type="spellStart"/>
      <w:r>
        <w:rPr>
          <w:rFonts w:ascii="Times New Roman" w:eastAsia="Times New Roman" w:hAnsi="Times New Roman" w:cs="Times New Roman"/>
          <w:sz w:val="24"/>
          <w:szCs w:val="24"/>
        </w:rPr>
        <w:t>Pró-Reitoria</w:t>
      </w:r>
      <w:proofErr w:type="spellEnd"/>
      <w:r>
        <w:rPr>
          <w:rFonts w:ascii="Times New Roman" w:eastAsia="Times New Roman" w:hAnsi="Times New Roman" w:cs="Times New Roman"/>
          <w:sz w:val="24"/>
          <w:szCs w:val="24"/>
        </w:rPr>
        <w:t xml:space="preserve"> de Administração (PROAD/UFES); em seguida, enviar à Superintendência de Orçamentos e Finanças (SOF) para liberação do perfil solicitado.</w:t>
      </w:r>
    </w:p>
    <w:p w14:paraId="17E89A30" w14:textId="77777777" w:rsidR="00BE16A7" w:rsidRDefault="00BE16A7" w:rsidP="00521BD2">
      <w:pPr>
        <w:ind w:left="1440"/>
        <w:rPr>
          <w:rFonts w:ascii="Times New Roman" w:eastAsia="Times New Roman" w:hAnsi="Times New Roman" w:cs="Times New Roman"/>
          <w:sz w:val="24"/>
          <w:szCs w:val="24"/>
        </w:rPr>
      </w:pPr>
    </w:p>
    <w:p w14:paraId="516FDBB5" w14:textId="77777777" w:rsidR="00BE16A7" w:rsidRDefault="00000000" w:rsidP="00521BD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2. As dúvidas sobre o preenchimento do Formulário SOF (Anexo II), devem ser dirimidas junto à SOF.</w:t>
      </w:r>
    </w:p>
    <w:p w14:paraId="4B4C9867" w14:textId="77777777" w:rsidR="00BE16A7" w:rsidRDefault="00BE16A7">
      <w:pPr>
        <w:ind w:firstLine="709"/>
        <w:rPr>
          <w:rFonts w:ascii="Times New Roman" w:eastAsia="Times New Roman" w:hAnsi="Times New Roman" w:cs="Times New Roman"/>
          <w:sz w:val="24"/>
          <w:szCs w:val="24"/>
        </w:rPr>
      </w:pPr>
    </w:p>
    <w:p w14:paraId="547F859A" w14:textId="77777777" w:rsidR="00BE16A7" w:rsidRDefault="00BE16A7">
      <w:pPr>
        <w:ind w:firstLine="709"/>
        <w:rPr>
          <w:rFonts w:ascii="Times New Roman" w:eastAsia="Times New Roman" w:hAnsi="Times New Roman" w:cs="Times New Roman"/>
          <w:sz w:val="24"/>
          <w:szCs w:val="24"/>
        </w:rPr>
      </w:pPr>
    </w:p>
    <w:p w14:paraId="40BF588C" w14:textId="77777777" w:rsidR="00521BD2" w:rsidRDefault="00521BD2">
      <w:pPr>
        <w:ind w:firstLine="709"/>
        <w:rPr>
          <w:rFonts w:ascii="Times New Roman" w:eastAsia="Times New Roman" w:hAnsi="Times New Roman" w:cs="Times New Roman"/>
          <w:sz w:val="24"/>
          <w:szCs w:val="24"/>
        </w:rPr>
      </w:pPr>
    </w:p>
    <w:p w14:paraId="3AE1E5F2" w14:textId="77777777" w:rsidR="00521BD2" w:rsidRDefault="00521BD2">
      <w:pPr>
        <w:ind w:firstLine="709"/>
        <w:rPr>
          <w:rFonts w:ascii="Times New Roman" w:eastAsia="Times New Roman" w:hAnsi="Times New Roman" w:cs="Times New Roman"/>
          <w:sz w:val="24"/>
          <w:szCs w:val="24"/>
        </w:rPr>
      </w:pPr>
    </w:p>
    <w:p w14:paraId="3B354B26" w14:textId="77777777" w:rsidR="00BE16A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 Termo de Referência</w:t>
      </w:r>
    </w:p>
    <w:p w14:paraId="0690C15B" w14:textId="77777777" w:rsidR="00BE16A7" w:rsidRDefault="00BE16A7">
      <w:pPr>
        <w:rPr>
          <w:rFonts w:ascii="Times New Roman" w:eastAsia="Times New Roman" w:hAnsi="Times New Roman" w:cs="Times New Roman"/>
          <w:sz w:val="24"/>
          <w:szCs w:val="24"/>
        </w:rPr>
      </w:pPr>
    </w:p>
    <w:p w14:paraId="7A567DA5"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Termo de Referência deve ser elaborado a partir dos modelos disponibilizados pela AGU, com acesso em: </w:t>
      </w:r>
      <w:hyperlink r:id="rId18">
        <w:r>
          <w:rPr>
            <w:rFonts w:ascii="Times New Roman" w:eastAsia="Times New Roman" w:hAnsi="Times New Roman" w:cs="Times New Roman"/>
            <w:color w:val="1155CC"/>
            <w:sz w:val="24"/>
            <w:szCs w:val="24"/>
            <w:u w:val="single"/>
          </w:rPr>
          <w:t>https://www.gov.br/agu/pt-br/composicao/cgu/cgu/modelos/licitacoesecontratos/14133/modelos-da-lei-no-14-133-21-para-contratacao-direta</w:t>
        </w:r>
      </w:hyperlink>
    </w:p>
    <w:p w14:paraId="631F2EFB" w14:textId="77777777" w:rsidR="00BE16A7" w:rsidRDefault="00BE16A7">
      <w:pPr>
        <w:ind w:firstLine="709"/>
        <w:rPr>
          <w:rFonts w:ascii="Times New Roman" w:eastAsia="Times New Roman" w:hAnsi="Times New Roman" w:cs="Times New Roman"/>
          <w:sz w:val="24"/>
          <w:szCs w:val="24"/>
        </w:rPr>
      </w:pPr>
    </w:p>
    <w:p w14:paraId="3E5A3FC1"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Há três modelos disponíveis para a contratação de serviços: serviço sem dedicação exclusiva de mão de obra, serviço com dedicação exclusiva de mão de obra e serviço comum de engenharia. O setor requisitante deve identificar o que melhor se adequa ao caso concreto e preencher conforme orientações das notas explicativas apresentadas ao longo do documento.</w:t>
      </w:r>
    </w:p>
    <w:p w14:paraId="274CB086" w14:textId="77777777" w:rsidR="00BE16A7" w:rsidRDefault="00BE16A7">
      <w:pPr>
        <w:ind w:firstLine="709"/>
        <w:rPr>
          <w:rFonts w:ascii="Times New Roman" w:eastAsia="Times New Roman" w:hAnsi="Times New Roman" w:cs="Times New Roman"/>
          <w:sz w:val="24"/>
          <w:szCs w:val="24"/>
        </w:rPr>
      </w:pPr>
    </w:p>
    <w:p w14:paraId="441CBD40"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finalizar a elaboração, as notas explicativas e os grifos orientativos devem ser removidos. </w:t>
      </w:r>
    </w:p>
    <w:p w14:paraId="1D951F69" w14:textId="77777777" w:rsidR="00BE16A7" w:rsidRDefault="00BE16A7">
      <w:pPr>
        <w:ind w:firstLine="709"/>
        <w:rPr>
          <w:rFonts w:ascii="Times New Roman" w:eastAsia="Times New Roman" w:hAnsi="Times New Roman" w:cs="Times New Roman"/>
          <w:sz w:val="24"/>
          <w:szCs w:val="24"/>
        </w:rPr>
      </w:pPr>
    </w:p>
    <w:p w14:paraId="7CE2CCD7"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Deverá ser gerado o Termo de Referência digital. O Anexo III,  instruções para a criação do TR digital - Sistema TR Digital, mostra o passo a passo para o cadastramento do TR Digital no Portal de Compras do Governo Federal.</w:t>
      </w:r>
    </w:p>
    <w:p w14:paraId="23D9622C" w14:textId="77777777" w:rsidR="00BE16A7" w:rsidRDefault="00BE16A7">
      <w:pPr>
        <w:ind w:firstLine="709"/>
        <w:rPr>
          <w:rFonts w:ascii="Times New Roman" w:eastAsia="Times New Roman" w:hAnsi="Times New Roman" w:cs="Times New Roman"/>
          <w:sz w:val="24"/>
          <w:szCs w:val="24"/>
        </w:rPr>
      </w:pPr>
    </w:p>
    <w:p w14:paraId="118997AD" w14:textId="4463343C" w:rsidR="00BE16A7" w:rsidRDefault="00000000" w:rsidP="00521BD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Para obter o perfil de acesso ao Sistema: o requisitante deve autuar documento avulso com formulário de cadastro de operador preenchido com a solicitação de inclusão do perfil FASEINT1 (Anexo II, disponível no link de</w:t>
      </w:r>
      <w:r w:rsidR="00521B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acesso:</w:t>
      </w:r>
      <w:r w:rsidR="00521BD2">
        <w:rPr>
          <w:rFonts w:ascii="Times New Roman" w:eastAsia="Times New Roman" w:hAnsi="Times New Roman" w:cs="Times New Roman"/>
          <w:sz w:val="24"/>
          <w:szCs w:val="24"/>
        </w:rPr>
        <w:t xml:space="preserve"> </w:t>
      </w:r>
      <w:hyperlink r:id="rId19" w:history="1">
        <w:r w:rsidR="00521BD2" w:rsidRPr="00E31D52">
          <w:rPr>
            <w:rStyle w:val="Hyperlink"/>
            <w:rFonts w:ascii="Times New Roman" w:eastAsia="Times New Roman" w:hAnsi="Times New Roman" w:cs="Times New Roman"/>
            <w:sz w:val="24"/>
            <w:szCs w:val="24"/>
          </w:rPr>
          <w:t>https://comprasecontratacoes.ufes.br/sites/comprasecontratacoes.ufes.br/files/field/anexo/anexo_ii_-_formulario_para_cadastro_de_operador.docx</w:t>
        </w:r>
      </w:hyperlink>
      <w:r>
        <w:rPr>
          <w:rFonts w:ascii="Times New Roman" w:eastAsia="Times New Roman" w:hAnsi="Times New Roman" w:cs="Times New Roman"/>
          <w:sz w:val="24"/>
          <w:szCs w:val="24"/>
        </w:rPr>
        <w:t xml:space="preserve">); submeter à autorização da </w:t>
      </w:r>
      <w:proofErr w:type="spellStart"/>
      <w:r>
        <w:rPr>
          <w:rFonts w:ascii="Times New Roman" w:eastAsia="Times New Roman" w:hAnsi="Times New Roman" w:cs="Times New Roman"/>
          <w:sz w:val="24"/>
          <w:szCs w:val="24"/>
        </w:rPr>
        <w:t>Pró-Reitoria</w:t>
      </w:r>
      <w:proofErr w:type="spellEnd"/>
      <w:r>
        <w:rPr>
          <w:rFonts w:ascii="Times New Roman" w:eastAsia="Times New Roman" w:hAnsi="Times New Roman" w:cs="Times New Roman"/>
          <w:sz w:val="24"/>
          <w:szCs w:val="24"/>
        </w:rPr>
        <w:t xml:space="preserve"> de Administração (PROAD/UFES); em seguida, enviar à Superintendência de Orçamentos e Finanças (SOF) para liberação do perfil solicitado.</w:t>
      </w:r>
    </w:p>
    <w:p w14:paraId="668C8EA7" w14:textId="77777777" w:rsidR="00BE16A7" w:rsidRDefault="00BE16A7">
      <w:pPr>
        <w:ind w:left="720"/>
        <w:rPr>
          <w:rFonts w:ascii="Times New Roman" w:eastAsia="Times New Roman" w:hAnsi="Times New Roman" w:cs="Times New Roman"/>
          <w:sz w:val="24"/>
          <w:szCs w:val="24"/>
        </w:rPr>
      </w:pPr>
    </w:p>
    <w:p w14:paraId="39498F75" w14:textId="77777777" w:rsidR="00BE16A7"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As dúvidas sobre o preenchimento do Formulário SOF (Anexo II), devem ser dirimidas junto à SOF.</w:t>
      </w:r>
    </w:p>
    <w:p w14:paraId="56115FD5" w14:textId="77777777" w:rsidR="00BE16A7" w:rsidRDefault="00000000">
      <w:pPr>
        <w:widowControl w:val="0"/>
        <w:tabs>
          <w:tab w:val="left" w:pos="1553"/>
          <w:tab w:val="left" w:pos="1554"/>
        </w:tabs>
        <w:rPr>
          <w:rFonts w:ascii="Arial" w:eastAsia="Arial" w:hAnsi="Arial" w:cs="Arial"/>
          <w:sz w:val="24"/>
          <w:szCs w:val="24"/>
        </w:rPr>
      </w:pPr>
      <w:r>
        <w:rPr>
          <w:rFonts w:ascii="Times New Roman" w:eastAsia="Times New Roman" w:hAnsi="Times New Roman" w:cs="Times New Roman"/>
          <w:sz w:val="24"/>
          <w:szCs w:val="24"/>
        </w:rPr>
        <w:tab/>
      </w:r>
    </w:p>
    <w:p w14:paraId="73965088" w14:textId="77777777" w:rsidR="00BE16A7" w:rsidRDefault="00BE16A7">
      <w:pPr>
        <w:widowControl w:val="0"/>
        <w:tabs>
          <w:tab w:val="left" w:pos="1553"/>
          <w:tab w:val="left" w:pos="1554"/>
        </w:tabs>
        <w:rPr>
          <w:rFonts w:ascii="Times New Roman" w:eastAsia="Times New Roman" w:hAnsi="Times New Roman" w:cs="Times New Roman"/>
          <w:b/>
          <w:sz w:val="24"/>
          <w:szCs w:val="24"/>
        </w:rPr>
      </w:pPr>
    </w:p>
    <w:p w14:paraId="6B37CE88" w14:textId="77777777" w:rsidR="00521BD2" w:rsidRDefault="00521BD2">
      <w:pPr>
        <w:widowControl w:val="0"/>
        <w:tabs>
          <w:tab w:val="left" w:pos="1553"/>
          <w:tab w:val="left" w:pos="1554"/>
        </w:tabs>
        <w:rPr>
          <w:rFonts w:ascii="Times New Roman" w:eastAsia="Times New Roman" w:hAnsi="Times New Roman" w:cs="Times New Roman"/>
          <w:b/>
          <w:sz w:val="24"/>
          <w:szCs w:val="24"/>
        </w:rPr>
      </w:pPr>
    </w:p>
    <w:p w14:paraId="689C6FA9" w14:textId="77777777" w:rsidR="00BE16A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 Pesquisa de preços</w:t>
      </w:r>
    </w:p>
    <w:p w14:paraId="547482C8" w14:textId="77777777" w:rsidR="00BE16A7" w:rsidRDefault="00BE16A7">
      <w:pPr>
        <w:rPr>
          <w:rFonts w:ascii="Times New Roman" w:eastAsia="Times New Roman" w:hAnsi="Times New Roman" w:cs="Times New Roman"/>
          <w:sz w:val="24"/>
          <w:szCs w:val="24"/>
        </w:rPr>
      </w:pPr>
    </w:p>
    <w:p w14:paraId="14CA0B13"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de preço deve observar o art. 23 da Lei nº 14.133/2021, a Instrução Normativa SEGES/ME nº 65/2021 para serviços em geral e, no caso de obras e serviços de engenharia, o Decreto nº 7.983/2013. </w:t>
      </w:r>
    </w:p>
    <w:p w14:paraId="26179845" w14:textId="77777777" w:rsidR="00BE16A7" w:rsidRDefault="00BE16A7">
      <w:pPr>
        <w:rPr>
          <w:rFonts w:ascii="Times New Roman" w:eastAsia="Times New Roman" w:hAnsi="Times New Roman" w:cs="Times New Roman"/>
          <w:b/>
          <w:sz w:val="24"/>
          <w:szCs w:val="24"/>
        </w:rPr>
      </w:pPr>
    </w:p>
    <w:p w14:paraId="723943AA" w14:textId="77777777" w:rsidR="00BE16A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Serviços em geral</w:t>
      </w:r>
    </w:p>
    <w:p w14:paraId="19E5BE3B"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contratação de serviços em geral, a pesquisa deve utilizar os seguintes parâmetros, adotados de </w:t>
      </w:r>
      <w:r>
        <w:rPr>
          <w:rFonts w:ascii="Times New Roman" w:eastAsia="Times New Roman" w:hAnsi="Times New Roman" w:cs="Times New Roman"/>
          <w:b/>
          <w:sz w:val="24"/>
          <w:szCs w:val="24"/>
        </w:rPr>
        <w:t>forma combinada ou não</w:t>
      </w:r>
      <w:r>
        <w:rPr>
          <w:rFonts w:ascii="Times New Roman" w:eastAsia="Times New Roman" w:hAnsi="Times New Roman" w:cs="Times New Roman"/>
          <w:sz w:val="24"/>
          <w:szCs w:val="24"/>
        </w:rPr>
        <w:t xml:space="preserve"> (art. 5º, IN 65/21): </w:t>
      </w:r>
    </w:p>
    <w:p w14:paraId="70F22F48" w14:textId="77777777" w:rsidR="00614971" w:rsidRDefault="00614971">
      <w:pPr>
        <w:ind w:firstLine="709"/>
        <w:rPr>
          <w:rFonts w:ascii="Times New Roman" w:eastAsia="Times New Roman" w:hAnsi="Times New Roman" w:cs="Times New Roman"/>
          <w:sz w:val="24"/>
          <w:szCs w:val="24"/>
        </w:rPr>
      </w:pPr>
    </w:p>
    <w:p w14:paraId="1DBF9F73"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 composição de custos unitários menores ou iguais à mediana do item correspondente nos sistemas oficiais de governo, como Painel de Preços ou banco de preços em saúde, observado o índice de atualização de preços correspondente;</w:t>
      </w:r>
    </w:p>
    <w:p w14:paraId="5B54B33A"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Acesso ao Painel de Preços: </w:t>
      </w:r>
      <w:hyperlink r:id="rId20">
        <w:r>
          <w:rPr>
            <w:rFonts w:ascii="Times New Roman" w:eastAsia="Times New Roman" w:hAnsi="Times New Roman" w:cs="Times New Roman"/>
            <w:color w:val="0563C1"/>
            <w:sz w:val="24"/>
            <w:szCs w:val="24"/>
            <w:u w:val="single"/>
          </w:rPr>
          <w:t>https://paineldeprecos.planejamento.gov.br/analise-servicos</w:t>
        </w:r>
      </w:hyperlink>
      <w:r>
        <w:rPr>
          <w:rFonts w:ascii="Times New Roman" w:eastAsia="Times New Roman" w:hAnsi="Times New Roman" w:cs="Times New Roman"/>
          <w:sz w:val="24"/>
          <w:szCs w:val="24"/>
        </w:rPr>
        <w:t xml:space="preserve">. </w:t>
      </w:r>
    </w:p>
    <w:p w14:paraId="5B6C979A"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1F12D1B" wp14:editId="1C5C0315">
            <wp:extent cx="5400040" cy="2550795"/>
            <wp:effectExtent l="3175" t="3175" r="3175" b="3175"/>
            <wp:docPr id="15" name="image1.png" descr="Interface gráfica do usuário, Gráfico, Gráfico de barr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Interface gráfica do usuário, Gráfico, Gráfico de barras&#10;&#10;Descrição gerada automaticamente"/>
                    <pic:cNvPicPr preferRelativeResize="0"/>
                  </pic:nvPicPr>
                  <pic:blipFill>
                    <a:blip r:embed="rId21"/>
                    <a:srcRect/>
                    <a:stretch>
                      <a:fillRect/>
                    </a:stretch>
                  </pic:blipFill>
                  <pic:spPr>
                    <a:xfrm>
                      <a:off x="0" y="0"/>
                      <a:ext cx="5400040" cy="2550795"/>
                    </a:xfrm>
                    <a:prstGeom prst="rect">
                      <a:avLst/>
                    </a:prstGeom>
                    <a:ln w="3175">
                      <a:solidFill>
                        <a:srgbClr val="000000"/>
                      </a:solidFill>
                      <a:prstDash val="solid"/>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10EEFECC" wp14:editId="3BB18B23">
                <wp:simplePos x="0" y="0"/>
                <wp:positionH relativeFrom="column">
                  <wp:posOffset>38101</wp:posOffset>
                </wp:positionH>
                <wp:positionV relativeFrom="paragraph">
                  <wp:posOffset>393700</wp:posOffset>
                </wp:positionV>
                <wp:extent cx="587961" cy="1773848"/>
                <wp:effectExtent l="0" t="0" r="0" b="0"/>
                <wp:wrapNone/>
                <wp:docPr id="12" name="Retângulo 12"/>
                <wp:cNvGraphicFramePr/>
                <a:graphic xmlns:a="http://schemas.openxmlformats.org/drawingml/2006/main">
                  <a:graphicData uri="http://schemas.microsoft.com/office/word/2010/wordprocessingShape">
                    <wps:wsp>
                      <wps:cNvSpPr/>
                      <wps:spPr>
                        <a:xfrm>
                          <a:off x="5056782" y="2897839"/>
                          <a:ext cx="578436" cy="1764323"/>
                        </a:xfrm>
                        <a:prstGeom prst="rect">
                          <a:avLst/>
                        </a:prstGeom>
                        <a:noFill/>
                        <a:ln w="9525" cap="flat" cmpd="sng">
                          <a:solidFill>
                            <a:srgbClr val="FF0000"/>
                          </a:solidFill>
                          <a:prstDash val="solid"/>
                          <a:miter lim="800000"/>
                          <a:headEnd type="none" w="sm" len="sm"/>
                          <a:tailEnd type="none" w="sm" len="sm"/>
                        </a:ln>
                      </wps:spPr>
                      <wps:txbx>
                        <w:txbxContent>
                          <w:p w14:paraId="39A9FC97" w14:textId="77777777" w:rsidR="00BE16A7" w:rsidRDefault="00BE16A7">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10EEFECC" id="Retângulo 12" o:spid="_x0000_s1034" style="position:absolute;left:0;text-align:left;margin-left:3pt;margin-top:31pt;width:46.3pt;height:13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" filled="f" strokecolor="red">
                <v:stroke startarrowwidth="narrow" startarrowlength="short" endarrowwidth="narrow" endarrowlength="short"/>
                <v:textbox inset="2.53958mm,2.53958mm,2.53958mm,2.53958mm">
                  <w:txbxContent>
                    <w:p w14:paraId="39A9FC97" w14:textId="77777777" w:rsidR="00BE16A7" w:rsidRDefault="00BE16A7">
                      <w:pPr>
                        <w:spacing w:line="240" w:lineRule="auto"/>
                        <w:jc w:val="left"/>
                        <w:textDirection w:val="btLr"/>
                      </w:pPr>
                    </w:p>
                  </w:txbxContent>
                </v:textbox>
              </v:rect>
            </w:pict>
          </mc:Fallback>
        </mc:AlternateContent>
      </w:r>
    </w:p>
    <w:p w14:paraId="7000DF7C"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Utilizar o menu à esquerda para realizar a pesquisa.</w:t>
      </w:r>
    </w:p>
    <w:p w14:paraId="6C8A9181" w14:textId="77777777" w:rsidR="00BE16A7" w:rsidRDefault="00BE16A7">
      <w:pPr>
        <w:rPr>
          <w:rFonts w:ascii="Times New Roman" w:eastAsia="Times New Roman" w:hAnsi="Times New Roman" w:cs="Times New Roman"/>
          <w:sz w:val="24"/>
          <w:szCs w:val="24"/>
        </w:rPr>
      </w:pPr>
    </w:p>
    <w:p w14:paraId="1AFCECA4" w14:textId="69C89844"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r w:rsidR="00614971">
        <w:rPr>
          <w:rFonts w:ascii="Times New Roman" w:eastAsia="Times New Roman" w:hAnsi="Times New Roman" w:cs="Times New Roman"/>
          <w:sz w:val="24"/>
          <w:szCs w:val="24"/>
        </w:rPr>
        <w:t>Contratações</w:t>
      </w:r>
      <w:r>
        <w:rPr>
          <w:rFonts w:ascii="Times New Roman" w:eastAsia="Times New Roman" w:hAnsi="Times New Roman" w:cs="Times New Roman"/>
          <w:sz w:val="24"/>
          <w:szCs w:val="24"/>
        </w:rPr>
        <w:t xml:space="preserve"> similares feitas pela Administração Pública, em execução ou concluídas no período de 1 (um) ano anterior à data da pesquisa de preços, inclusive mediante sistema de registro de preços, observado o índice de atualização de preços correspondente;</w:t>
      </w:r>
    </w:p>
    <w:p w14:paraId="740EFCE8" w14:textId="77777777" w:rsidR="00BE16A7" w:rsidRDefault="00BE16A7">
      <w:pPr>
        <w:ind w:firstLine="709"/>
        <w:rPr>
          <w:rFonts w:ascii="Times New Roman" w:eastAsia="Times New Roman" w:hAnsi="Times New Roman" w:cs="Times New Roman"/>
          <w:sz w:val="24"/>
          <w:szCs w:val="24"/>
        </w:rPr>
      </w:pPr>
    </w:p>
    <w:p w14:paraId="7E094C5C" w14:textId="77777777" w:rsidR="00BE16A7" w:rsidRDefault="00000000" w:rsidP="006149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Os parâmetros I e II devem ser priorizados, em caso de impossibilidade, apresentar justificativa nos autos.</w:t>
      </w:r>
    </w:p>
    <w:p w14:paraId="45C35DD5" w14:textId="77777777" w:rsidR="00BE16A7" w:rsidRDefault="00BE16A7">
      <w:pPr>
        <w:rPr>
          <w:rFonts w:ascii="Times New Roman" w:eastAsia="Times New Roman" w:hAnsi="Times New Roman" w:cs="Times New Roman"/>
          <w:sz w:val="24"/>
          <w:szCs w:val="24"/>
        </w:rPr>
      </w:pPr>
    </w:p>
    <w:p w14:paraId="72F38A52" w14:textId="7044D83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 - </w:t>
      </w:r>
      <w:r w:rsidR="00614971">
        <w:rPr>
          <w:rFonts w:ascii="Times New Roman" w:eastAsia="Times New Roman" w:hAnsi="Times New Roman" w:cs="Times New Roman"/>
          <w:sz w:val="24"/>
          <w:szCs w:val="24"/>
        </w:rPr>
        <w:t>D</w:t>
      </w:r>
      <w:r>
        <w:rPr>
          <w:rFonts w:ascii="Times New Roman" w:eastAsia="Times New Roman" w:hAnsi="Times New Roman" w:cs="Times New Roman"/>
          <w:sz w:val="24"/>
          <w:szCs w:val="24"/>
        </w:rPr>
        <w:t>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14:paraId="040E52BF" w14:textId="77777777" w:rsidR="00BE16A7" w:rsidRDefault="00BE16A7">
      <w:pPr>
        <w:rPr>
          <w:rFonts w:ascii="Times New Roman" w:eastAsia="Times New Roman" w:hAnsi="Times New Roman" w:cs="Times New Roman"/>
          <w:sz w:val="24"/>
          <w:szCs w:val="24"/>
        </w:rPr>
      </w:pPr>
    </w:p>
    <w:p w14:paraId="34890CAE" w14:textId="03088D0A"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r w:rsidR="00614971">
        <w:rPr>
          <w:rFonts w:ascii="Times New Roman" w:eastAsia="Times New Roman" w:hAnsi="Times New Roman" w:cs="Times New Roman"/>
          <w:sz w:val="24"/>
          <w:szCs w:val="24"/>
        </w:rPr>
        <w:t>Pesquisa</w:t>
      </w:r>
      <w:r>
        <w:rPr>
          <w:rFonts w:ascii="Times New Roman" w:eastAsia="Times New Roman" w:hAnsi="Times New Roman" w:cs="Times New Roman"/>
          <w:sz w:val="24"/>
          <w:szCs w:val="24"/>
        </w:rPr>
        <w:t xml:space="preserve"> direta com, no mínimo, 3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w:t>
      </w:r>
    </w:p>
    <w:p w14:paraId="36352C7C" w14:textId="77777777" w:rsidR="00614971" w:rsidRDefault="00614971">
      <w:pPr>
        <w:rPr>
          <w:rFonts w:ascii="Times New Roman" w:eastAsia="Times New Roman" w:hAnsi="Times New Roman" w:cs="Times New Roman"/>
          <w:sz w:val="24"/>
          <w:szCs w:val="24"/>
        </w:rPr>
      </w:pPr>
    </w:p>
    <w:p w14:paraId="08B837E5" w14:textId="2AE287BB"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solicitar os orçamentos o setor requisitante pode utilizar o modelo disponível em: </w:t>
      </w:r>
      <w:hyperlink r:id="rId22" w:history="1">
        <w:r w:rsidR="0048516D" w:rsidRPr="0048516D">
          <w:rPr>
            <w:rStyle w:val="Hyperlink"/>
            <w:rFonts w:ascii="Times New Roman" w:eastAsia="Times New Roman" w:hAnsi="Times New Roman" w:cs="Times New Roman"/>
            <w:sz w:val="24"/>
            <w:szCs w:val="24"/>
          </w:rPr>
          <w:t>https://comprasecontratacoes.ufes.br/sites/comprasecontratacoes.ufes.br/files/field/anexo/anexo_iv_-_documento_de_formalizacao_de_pesquisa_x.docx</w:t>
        </w:r>
      </w:hyperlink>
    </w:p>
    <w:p w14:paraId="1E450703" w14:textId="77777777" w:rsidR="00BE16A7" w:rsidRDefault="00BE16A7">
      <w:pPr>
        <w:rPr>
          <w:rFonts w:ascii="Times New Roman" w:eastAsia="Times New Roman" w:hAnsi="Times New Roman" w:cs="Times New Roman"/>
          <w:sz w:val="24"/>
          <w:szCs w:val="24"/>
        </w:rPr>
      </w:pPr>
    </w:p>
    <w:p w14:paraId="592AC81E" w14:textId="1033060E"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w:t>
      </w:r>
      <w:r w:rsidR="000F41EE">
        <w:rPr>
          <w:rFonts w:ascii="Times New Roman" w:eastAsia="Times New Roman" w:hAnsi="Times New Roman" w:cs="Times New Roman"/>
          <w:sz w:val="24"/>
          <w:szCs w:val="24"/>
        </w:rPr>
        <w:t>Pesquisa</w:t>
      </w:r>
      <w:r>
        <w:rPr>
          <w:rFonts w:ascii="Times New Roman" w:eastAsia="Times New Roman" w:hAnsi="Times New Roman" w:cs="Times New Roman"/>
          <w:sz w:val="24"/>
          <w:szCs w:val="24"/>
        </w:rPr>
        <w:t xml:space="preserve"> na base nacional de notas fiscais eletrônicas, desde que a data das notas fiscais esteja compreendida no período de até 1 (um) ano anterior à data de divulgação do edital. </w:t>
      </w:r>
    </w:p>
    <w:p w14:paraId="594C126B"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Acesso a base de dados: </w:t>
      </w:r>
      <w:hyperlink r:id="rId23">
        <w:r>
          <w:rPr>
            <w:rFonts w:ascii="Times New Roman" w:eastAsia="Times New Roman" w:hAnsi="Times New Roman" w:cs="Times New Roman"/>
            <w:color w:val="0563C1"/>
            <w:sz w:val="24"/>
            <w:szCs w:val="24"/>
            <w:u w:val="single"/>
          </w:rPr>
          <w:t>https://www.portaltransparencia.gov.br/notas-fiscais/lista-consultas</w:t>
        </w:r>
      </w:hyperlink>
      <w:r>
        <w:rPr>
          <w:rFonts w:ascii="Times New Roman" w:eastAsia="Times New Roman" w:hAnsi="Times New Roman" w:cs="Times New Roman"/>
          <w:sz w:val="24"/>
          <w:szCs w:val="24"/>
        </w:rPr>
        <w:t>.</w:t>
      </w:r>
    </w:p>
    <w:p w14:paraId="566B85CF"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5338BF1" wp14:editId="458C684E">
            <wp:extent cx="5400040" cy="2247900"/>
            <wp:effectExtent l="3175" t="3175" r="3175" b="3175"/>
            <wp:docPr id="17" name="image3.png" descr="Interface gráfica do usuário, Text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png" descr="Interface gráfica do usuário, Texto, Aplicativo&#10;&#10;Descrição gerada automaticamente"/>
                    <pic:cNvPicPr preferRelativeResize="0"/>
                  </pic:nvPicPr>
                  <pic:blipFill>
                    <a:blip r:embed="rId24"/>
                    <a:srcRect/>
                    <a:stretch>
                      <a:fillRect/>
                    </a:stretch>
                  </pic:blipFill>
                  <pic:spPr>
                    <a:xfrm>
                      <a:off x="0" y="0"/>
                      <a:ext cx="5400040" cy="2247900"/>
                    </a:xfrm>
                    <a:prstGeom prst="rect">
                      <a:avLst/>
                    </a:prstGeom>
                    <a:ln w="3175">
                      <a:solidFill>
                        <a:srgbClr val="000000"/>
                      </a:solidFill>
                      <a:prstDash val="solid"/>
                    </a:ln>
                  </pic:spPr>
                </pic:pic>
              </a:graphicData>
            </a:graphic>
          </wp:inline>
        </w:drawing>
      </w:r>
      <w:r>
        <w:rPr>
          <w:noProof/>
        </w:rPr>
        <mc:AlternateContent>
          <mc:Choice Requires="wps">
            <w:drawing>
              <wp:anchor distT="0" distB="0" distL="114300" distR="114300" simplePos="0" relativeHeight="251660288" behindDoc="0" locked="0" layoutInCell="1" hidden="0" allowOverlap="1" wp14:anchorId="368A4450" wp14:editId="716B91F1">
                <wp:simplePos x="0" y="0"/>
                <wp:positionH relativeFrom="column">
                  <wp:posOffset>190500</wp:posOffset>
                </wp:positionH>
                <wp:positionV relativeFrom="paragraph">
                  <wp:posOffset>1612900</wp:posOffset>
                </wp:positionV>
                <wp:extent cx="964956" cy="197094"/>
                <wp:effectExtent l="0" t="0" r="0" b="0"/>
                <wp:wrapNone/>
                <wp:docPr id="14" name="Retângulo 14"/>
                <wp:cNvGraphicFramePr/>
                <a:graphic xmlns:a="http://schemas.openxmlformats.org/drawingml/2006/main">
                  <a:graphicData uri="http://schemas.microsoft.com/office/word/2010/wordprocessingShape">
                    <wps:wsp>
                      <wps:cNvSpPr/>
                      <wps:spPr>
                        <a:xfrm>
                          <a:off x="4868285" y="3686216"/>
                          <a:ext cx="955431" cy="187569"/>
                        </a:xfrm>
                        <a:prstGeom prst="rect">
                          <a:avLst/>
                        </a:prstGeom>
                        <a:noFill/>
                        <a:ln w="9525" cap="flat" cmpd="sng">
                          <a:solidFill>
                            <a:srgbClr val="FF0000"/>
                          </a:solidFill>
                          <a:prstDash val="solid"/>
                          <a:miter lim="800000"/>
                          <a:headEnd type="none" w="sm" len="sm"/>
                          <a:tailEnd type="none" w="sm" len="sm"/>
                        </a:ln>
                      </wps:spPr>
                      <wps:txbx>
                        <w:txbxContent>
                          <w:p w14:paraId="0544E55B" w14:textId="77777777" w:rsidR="00BE16A7" w:rsidRDefault="00BE16A7">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8A4450" id="Retângulo 14" o:spid="_x0000_s1035" style="position:absolute;left:0;text-align:left;margin-left:15pt;margin-top:127pt;width:76pt;height: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" filled="f" strokecolor="red">
                <v:stroke startarrowwidth="narrow" startarrowlength="short" endarrowwidth="narrow" endarrowlength="short"/>
                <v:textbox inset="2.53958mm,2.53958mm,2.53958mm,2.53958mm">
                  <w:txbxContent>
                    <w:p w14:paraId="0544E55B" w14:textId="77777777" w:rsidR="00BE16A7" w:rsidRDefault="00BE16A7">
                      <w:pPr>
                        <w:spacing w:line="240" w:lineRule="auto"/>
                        <w:jc w:val="left"/>
                        <w:textDirection w:val="btLr"/>
                      </w:pPr>
                    </w:p>
                  </w:txbxContent>
                </v:textbox>
              </v:rect>
            </w:pict>
          </mc:Fallback>
        </mc:AlternateContent>
      </w:r>
    </w:p>
    <w:p w14:paraId="75F94876"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Consultar através da opção “Produtos e Serviços”.</w:t>
      </w:r>
    </w:p>
    <w:p w14:paraId="775DD724"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6CAC56F" wp14:editId="6C0508F7">
            <wp:extent cx="5400040" cy="4521200"/>
            <wp:effectExtent l="3175" t="3175" r="3175" b="3175"/>
            <wp:docPr id="16" name="image2.png" descr="Interface gráfica do usuári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Interface gráfica do usuário, Aplicativo&#10;&#10;Descrição gerada automaticamente"/>
                    <pic:cNvPicPr preferRelativeResize="0"/>
                  </pic:nvPicPr>
                  <pic:blipFill>
                    <a:blip r:embed="rId25"/>
                    <a:srcRect/>
                    <a:stretch>
                      <a:fillRect/>
                    </a:stretch>
                  </pic:blipFill>
                  <pic:spPr>
                    <a:xfrm>
                      <a:off x="0" y="0"/>
                      <a:ext cx="5400040" cy="4521200"/>
                    </a:xfrm>
                    <a:prstGeom prst="rect">
                      <a:avLst/>
                    </a:prstGeom>
                    <a:ln w="3175">
                      <a:solidFill>
                        <a:srgbClr val="000000"/>
                      </a:solidFill>
                      <a:prstDash val="solid"/>
                    </a:ln>
                  </pic:spPr>
                </pic:pic>
              </a:graphicData>
            </a:graphic>
          </wp:inline>
        </w:drawing>
      </w:r>
      <w:r>
        <w:rPr>
          <w:rFonts w:ascii="Times New Roman" w:eastAsia="Times New Roman" w:hAnsi="Times New Roman" w:cs="Times New Roman"/>
          <w:sz w:val="24"/>
          <w:szCs w:val="24"/>
        </w:rPr>
        <w:t xml:space="preserve"> </w:t>
      </w:r>
      <w:r>
        <w:rPr>
          <w:noProof/>
        </w:rPr>
        <mc:AlternateContent>
          <mc:Choice Requires="wps">
            <w:drawing>
              <wp:anchor distT="0" distB="0" distL="114300" distR="114300" simplePos="0" relativeHeight="251661312" behindDoc="0" locked="0" layoutInCell="1" hidden="0" allowOverlap="1" wp14:anchorId="1835DD2D" wp14:editId="6572BB1F">
                <wp:simplePos x="0" y="0"/>
                <wp:positionH relativeFrom="column">
                  <wp:posOffset>114300</wp:posOffset>
                </wp:positionH>
                <wp:positionV relativeFrom="paragraph">
                  <wp:posOffset>1117600</wp:posOffset>
                </wp:positionV>
                <wp:extent cx="923925" cy="3280264"/>
                <wp:effectExtent l="0" t="0" r="0" b="0"/>
                <wp:wrapNone/>
                <wp:docPr id="13" name="Retângulo 13"/>
                <wp:cNvGraphicFramePr/>
                <a:graphic xmlns:a="http://schemas.openxmlformats.org/drawingml/2006/main">
                  <a:graphicData uri="http://schemas.microsoft.com/office/word/2010/wordprocessingShape">
                    <wps:wsp>
                      <wps:cNvSpPr/>
                      <wps:spPr>
                        <a:xfrm>
                          <a:off x="4888800" y="2144631"/>
                          <a:ext cx="914400" cy="3270739"/>
                        </a:xfrm>
                        <a:prstGeom prst="rect">
                          <a:avLst/>
                        </a:prstGeom>
                        <a:noFill/>
                        <a:ln w="9525" cap="flat" cmpd="sng">
                          <a:solidFill>
                            <a:srgbClr val="FF0000"/>
                          </a:solidFill>
                          <a:prstDash val="solid"/>
                          <a:miter lim="800000"/>
                          <a:headEnd type="none" w="sm" len="sm"/>
                          <a:tailEnd type="none" w="sm" len="sm"/>
                        </a:ln>
                      </wps:spPr>
                      <wps:txbx>
                        <w:txbxContent>
                          <w:p w14:paraId="38B35807" w14:textId="77777777" w:rsidR="00BE16A7" w:rsidRDefault="00BE16A7">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35DD2D" id="Retângulo 13" o:spid="_x0000_s1036" style="position:absolute;left:0;text-align:left;margin-left:9pt;margin-top:88pt;width:72.75pt;height:258.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" filled="f" strokecolor="red">
                <v:stroke startarrowwidth="narrow" startarrowlength="short" endarrowwidth="narrow" endarrowlength="short"/>
                <v:textbox inset="2.53958mm,2.53958mm,2.53958mm,2.53958mm">
                  <w:txbxContent>
                    <w:p w14:paraId="38B35807" w14:textId="77777777" w:rsidR="00BE16A7" w:rsidRDefault="00BE16A7">
                      <w:pPr>
                        <w:spacing w:line="240" w:lineRule="auto"/>
                        <w:jc w:val="left"/>
                        <w:textDirection w:val="btLr"/>
                      </w:pPr>
                    </w:p>
                  </w:txbxContent>
                </v:textbox>
              </v:rect>
            </w:pict>
          </mc:Fallback>
        </mc:AlternateContent>
      </w:r>
    </w:p>
    <w:p w14:paraId="66137F14"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Utilizar o menu à esquerda para definir os parâmetros da busca.</w:t>
      </w:r>
    </w:p>
    <w:p w14:paraId="14FF1DFA" w14:textId="77777777" w:rsidR="00BE16A7" w:rsidRDefault="00BE16A7">
      <w:pPr>
        <w:rPr>
          <w:rFonts w:ascii="Times New Roman" w:eastAsia="Times New Roman" w:hAnsi="Times New Roman" w:cs="Times New Roman"/>
          <w:sz w:val="24"/>
          <w:szCs w:val="24"/>
        </w:rPr>
      </w:pPr>
    </w:p>
    <w:p w14:paraId="1A2DAF07"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Para obtenção do preço estimado deve ser utilizado como método, a média, a mediana ou o menor dos valores obtidos na pesquisa de preços, desde que o cálculo incida sobre um conjunto de três ou mais preços, oriundos de um ou mais dos parâmetros citados (I a V), desconsiderados os valores inexequíveis, inconsistentes e os excessivamente elevados (Art. 6º, IN 65/21).</w:t>
      </w:r>
    </w:p>
    <w:p w14:paraId="65A063A7" w14:textId="77777777" w:rsidR="00BE16A7" w:rsidRDefault="00BE16A7">
      <w:pPr>
        <w:ind w:firstLine="709"/>
        <w:rPr>
          <w:rFonts w:ascii="Times New Roman" w:eastAsia="Times New Roman" w:hAnsi="Times New Roman" w:cs="Times New Roman"/>
          <w:sz w:val="24"/>
          <w:szCs w:val="24"/>
        </w:rPr>
      </w:pPr>
    </w:p>
    <w:p w14:paraId="551BDBC7" w14:textId="77777777"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Documento de Formalização da Pesquisa</w:t>
      </w:r>
      <w:r>
        <w:rPr>
          <w:rFonts w:ascii="Times New Roman" w:eastAsia="Times New Roman" w:hAnsi="Times New Roman" w:cs="Times New Roman"/>
          <w:sz w:val="24"/>
          <w:szCs w:val="24"/>
        </w:rPr>
        <w:t xml:space="preserve"> - A pesquisa deve ser materializada em documento que contenha, no mínimo:</w:t>
      </w:r>
    </w:p>
    <w:p w14:paraId="7F6216D1" w14:textId="77777777" w:rsidR="000F41EE" w:rsidRDefault="000F41EE">
      <w:pPr>
        <w:rPr>
          <w:rFonts w:ascii="Times New Roman" w:eastAsia="Times New Roman" w:hAnsi="Times New Roman" w:cs="Times New Roman"/>
          <w:sz w:val="24"/>
          <w:szCs w:val="24"/>
        </w:rPr>
      </w:pPr>
    </w:p>
    <w:p w14:paraId="28CB4087" w14:textId="77777777" w:rsidR="00BE16A7" w:rsidRDefault="00000000" w:rsidP="000F41E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 descrição do objeto a ser contratado;</w:t>
      </w:r>
    </w:p>
    <w:p w14:paraId="18774FB7" w14:textId="77777777" w:rsidR="00BE16A7" w:rsidRDefault="00000000" w:rsidP="000F41E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 - identificação do(s) agente(s) responsável(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pela pesquisa ou, se for o caso, da equipe de planejamento;</w:t>
      </w:r>
    </w:p>
    <w:p w14:paraId="3439DCB3" w14:textId="77777777" w:rsidR="00BE16A7" w:rsidRDefault="00000000" w:rsidP="000F41E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III - caracterização das fontes consultadas;</w:t>
      </w:r>
    </w:p>
    <w:p w14:paraId="2AD481DD" w14:textId="77777777" w:rsidR="00BE16A7" w:rsidRDefault="00000000" w:rsidP="000F41E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IV - série de preços coletados;</w:t>
      </w:r>
    </w:p>
    <w:p w14:paraId="3586D606" w14:textId="66B87263" w:rsidR="00BE16A7" w:rsidRDefault="00000000" w:rsidP="000F41E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 - </w:t>
      </w:r>
      <w:r w:rsidR="000F41EE">
        <w:rPr>
          <w:rFonts w:ascii="Times New Roman" w:eastAsia="Times New Roman" w:hAnsi="Times New Roman" w:cs="Times New Roman"/>
          <w:sz w:val="24"/>
          <w:szCs w:val="24"/>
        </w:rPr>
        <w:t>Método</w:t>
      </w:r>
      <w:r>
        <w:rPr>
          <w:rFonts w:ascii="Times New Roman" w:eastAsia="Times New Roman" w:hAnsi="Times New Roman" w:cs="Times New Roman"/>
          <w:sz w:val="24"/>
          <w:szCs w:val="24"/>
        </w:rPr>
        <w:t xml:space="preserve"> estatístico aplicado para a definição do valor estimado;</w:t>
      </w:r>
    </w:p>
    <w:p w14:paraId="10CD7CC0" w14:textId="722CBA20" w:rsidR="00BE16A7" w:rsidRDefault="00000000" w:rsidP="000F41E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 </w:t>
      </w:r>
      <w:r w:rsidR="000F41EE">
        <w:rPr>
          <w:rFonts w:ascii="Times New Roman" w:eastAsia="Times New Roman" w:hAnsi="Times New Roman" w:cs="Times New Roman"/>
          <w:sz w:val="24"/>
          <w:szCs w:val="24"/>
        </w:rPr>
        <w:t>Justificativas</w:t>
      </w:r>
      <w:r>
        <w:rPr>
          <w:rFonts w:ascii="Times New Roman" w:eastAsia="Times New Roman" w:hAnsi="Times New Roman" w:cs="Times New Roman"/>
          <w:sz w:val="24"/>
          <w:szCs w:val="24"/>
        </w:rPr>
        <w:t xml:space="preserve"> para a metodologia utilizada, em especial para a desconsideração de valores inconsistentes, inexequíveis ou excessivamente elevados, se aplicável;</w:t>
      </w:r>
    </w:p>
    <w:p w14:paraId="363779B0" w14:textId="77777777" w:rsidR="00BE16A7" w:rsidRDefault="00000000" w:rsidP="000F41E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VII - memória de cálculo do valor estimado e documentos que lhe dão suporte; e</w:t>
      </w:r>
    </w:p>
    <w:p w14:paraId="094427A9" w14:textId="77777777" w:rsidR="00BE16A7" w:rsidRDefault="00000000" w:rsidP="000F41E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VIII - justificativa da escolha dos fornecedores, no caso da pesquisa direta com fornecedores. (art. 3º, IN 65/21).</w:t>
      </w:r>
    </w:p>
    <w:p w14:paraId="16B24641" w14:textId="77777777" w:rsidR="00BE16A7" w:rsidRDefault="00BE16A7">
      <w:pPr>
        <w:rPr>
          <w:rFonts w:ascii="Times New Roman" w:eastAsia="Times New Roman" w:hAnsi="Times New Roman" w:cs="Times New Roman"/>
          <w:sz w:val="24"/>
          <w:szCs w:val="24"/>
        </w:rPr>
      </w:pPr>
    </w:p>
    <w:p w14:paraId="503DE682" w14:textId="7413F5F5" w:rsidR="00BE16A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Pode ser utilizado o Documento de Formalização da Pesquisa - Anexo IV (disponível no link</w:t>
      </w:r>
      <w:r w:rsidR="000F41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w:t>
      </w:r>
      <w:r w:rsidR="000F41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acesso:</w:t>
      </w:r>
      <w:r w:rsidR="000F41EE">
        <w:rPr>
          <w:rFonts w:ascii="Times New Roman" w:eastAsia="Times New Roman" w:hAnsi="Times New Roman" w:cs="Times New Roman"/>
          <w:sz w:val="24"/>
          <w:szCs w:val="24"/>
        </w:rPr>
        <w:t xml:space="preserve"> </w:t>
      </w:r>
      <w:hyperlink r:id="rId26" w:history="1">
        <w:r w:rsidR="000F41EE" w:rsidRPr="00064EB5">
          <w:rPr>
            <w:rStyle w:val="Hyperlink"/>
            <w:rFonts w:ascii="Times New Roman" w:eastAsia="Times New Roman" w:hAnsi="Times New Roman" w:cs="Times New Roman"/>
            <w:sz w:val="24"/>
            <w:szCs w:val="24"/>
          </w:rPr>
          <w:t>https://comprasecontratacoes.ufes.br/sites/comprasecontratacoes.ufes.br/files/field/anexo/anexo_iv_-_documento_de_formalizacao_de_pesquisa_x.docx</w:t>
        </w:r>
      </w:hyperlink>
      <w:r w:rsidR="000F41EE">
        <w:rPr>
          <w:rFonts w:ascii="Times New Roman" w:eastAsia="Times New Roman" w:hAnsi="Times New Roman" w:cs="Times New Roman"/>
          <w:sz w:val="24"/>
          <w:szCs w:val="24"/>
        </w:rPr>
        <w:t>).</w:t>
      </w:r>
    </w:p>
    <w:p w14:paraId="71C0DA39" w14:textId="77777777" w:rsidR="00BE16A7" w:rsidRDefault="00BE16A7">
      <w:pPr>
        <w:rPr>
          <w:rFonts w:ascii="Times New Roman" w:eastAsia="Times New Roman" w:hAnsi="Times New Roman" w:cs="Times New Roman"/>
          <w:sz w:val="24"/>
          <w:szCs w:val="24"/>
        </w:rPr>
      </w:pPr>
    </w:p>
    <w:p w14:paraId="0E80A41D" w14:textId="77777777" w:rsidR="00BE16A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Obras e serviços de engenharia</w:t>
      </w:r>
    </w:p>
    <w:p w14:paraId="0595F521" w14:textId="77777777" w:rsidR="000F41EE" w:rsidRDefault="000F41EE">
      <w:pPr>
        <w:rPr>
          <w:rFonts w:ascii="Times New Roman" w:eastAsia="Times New Roman" w:hAnsi="Times New Roman" w:cs="Times New Roman"/>
          <w:b/>
          <w:sz w:val="24"/>
          <w:szCs w:val="24"/>
        </w:rPr>
      </w:pPr>
    </w:p>
    <w:p w14:paraId="7824931F" w14:textId="77777777" w:rsidR="00BE16A7" w:rsidRDefault="00000000">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Para a contratação de obras e serviços de engenharia, o valor estimado, acrescido do percentual de Benefícios e Despesas Indiretas (BDI) de referência e dos Encargos Sociais (ES) cabíveis, será definido por meio da utilização de parâmetros na </w:t>
      </w:r>
      <w:r>
        <w:rPr>
          <w:rFonts w:ascii="Times New Roman" w:eastAsia="Times New Roman" w:hAnsi="Times New Roman" w:cs="Times New Roman"/>
          <w:b/>
          <w:sz w:val="24"/>
          <w:szCs w:val="24"/>
        </w:rPr>
        <w:t>seguinte ordem:</w:t>
      </w:r>
    </w:p>
    <w:p w14:paraId="71E35D90" w14:textId="77777777" w:rsidR="000F41EE" w:rsidRDefault="000F41EE">
      <w:pPr>
        <w:ind w:firstLine="709"/>
        <w:rPr>
          <w:rFonts w:ascii="Times New Roman" w:eastAsia="Times New Roman" w:hAnsi="Times New Roman" w:cs="Times New Roman"/>
          <w:b/>
          <w:sz w:val="24"/>
          <w:szCs w:val="24"/>
        </w:rPr>
      </w:pPr>
    </w:p>
    <w:p w14:paraId="2E2CFB02" w14:textId="7092A883" w:rsidR="00BE16A7" w:rsidRDefault="00000000" w:rsidP="000F41EE">
      <w:pPr>
        <w:ind w:left="709"/>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sz w:val="24"/>
          <w:szCs w:val="24"/>
        </w:rPr>
        <w:t xml:space="preserve">I - </w:t>
      </w:r>
      <w:r w:rsidR="000F41EE">
        <w:rPr>
          <w:rFonts w:ascii="Times New Roman" w:eastAsia="Times New Roman" w:hAnsi="Times New Roman" w:cs="Times New Roman"/>
          <w:sz w:val="24"/>
          <w:szCs w:val="24"/>
        </w:rPr>
        <w:t>Composição</w:t>
      </w:r>
      <w:r>
        <w:rPr>
          <w:rFonts w:ascii="Times New Roman" w:eastAsia="Times New Roman" w:hAnsi="Times New Roman" w:cs="Times New Roman"/>
          <w:sz w:val="24"/>
          <w:szCs w:val="24"/>
        </w:rPr>
        <w:t xml:space="preserve"> de custos unitários menores ou iguais à mediana do item correspondente do Sistema de Custos Referenciais de Obras (</w:t>
      </w:r>
      <w:proofErr w:type="spellStart"/>
      <w:r>
        <w:rPr>
          <w:rFonts w:ascii="Times New Roman" w:eastAsia="Times New Roman" w:hAnsi="Times New Roman" w:cs="Times New Roman"/>
          <w:sz w:val="24"/>
          <w:szCs w:val="24"/>
        </w:rPr>
        <w:t>Sicro</w:t>
      </w:r>
      <w:proofErr w:type="spellEnd"/>
      <w:r>
        <w:rPr>
          <w:rFonts w:ascii="Times New Roman" w:eastAsia="Times New Roman" w:hAnsi="Times New Roman" w:cs="Times New Roman"/>
          <w:sz w:val="24"/>
          <w:szCs w:val="24"/>
        </w:rPr>
        <w:t>), para serviços e obras de infraestrutura de transportes, ou do Sistema Nacional de Pesquisa de Custos e Índices de Construção Civil (</w:t>
      </w:r>
      <w:proofErr w:type="spellStart"/>
      <w:r>
        <w:rPr>
          <w:rFonts w:ascii="Times New Roman" w:eastAsia="Times New Roman" w:hAnsi="Times New Roman" w:cs="Times New Roman"/>
          <w:sz w:val="24"/>
          <w:szCs w:val="24"/>
        </w:rPr>
        <w:t>Sinapi</w:t>
      </w:r>
      <w:proofErr w:type="spellEnd"/>
      <w:r>
        <w:rPr>
          <w:rFonts w:ascii="Times New Roman" w:eastAsia="Times New Roman" w:hAnsi="Times New Roman" w:cs="Times New Roman"/>
          <w:sz w:val="24"/>
          <w:szCs w:val="24"/>
        </w:rPr>
        <w:t>), para as demais obras e serviços de engenharia;</w:t>
      </w:r>
    </w:p>
    <w:p w14:paraId="0EA64130" w14:textId="4B764C65" w:rsidR="00BE16A7" w:rsidRDefault="00000000" w:rsidP="000F41EE">
      <w:pPr>
        <w:ind w:left="709"/>
        <w:rPr>
          <w:rFonts w:ascii="Times New Roman" w:eastAsia="Times New Roman" w:hAnsi="Times New Roman" w:cs="Times New Roman"/>
          <w:sz w:val="24"/>
          <w:szCs w:val="24"/>
        </w:rPr>
      </w:pPr>
      <w:bookmarkStart w:id="1" w:name="bookmark=id.30j0zll" w:colFirst="0" w:colLast="0"/>
      <w:bookmarkEnd w:id="1"/>
      <w:r>
        <w:rPr>
          <w:rFonts w:ascii="Times New Roman" w:eastAsia="Times New Roman" w:hAnsi="Times New Roman" w:cs="Times New Roman"/>
          <w:sz w:val="24"/>
          <w:szCs w:val="24"/>
        </w:rPr>
        <w:t xml:space="preserve">II - </w:t>
      </w:r>
      <w:r w:rsidR="000F41EE">
        <w:rPr>
          <w:rFonts w:ascii="Times New Roman" w:eastAsia="Times New Roman" w:hAnsi="Times New Roman" w:cs="Times New Roman"/>
          <w:sz w:val="24"/>
          <w:szCs w:val="24"/>
        </w:rPr>
        <w:t>Utilização</w:t>
      </w:r>
      <w:r>
        <w:rPr>
          <w:rFonts w:ascii="Times New Roman" w:eastAsia="Times New Roman" w:hAnsi="Times New Roman" w:cs="Times New Roman"/>
          <w:sz w:val="24"/>
          <w:szCs w:val="24"/>
        </w:rPr>
        <w:t xml:space="preserve"> de dados de pesquisa publicada em mídia especializada, de tabela de referência formalmente aprovada pelo Poder Executivo federal e de sítios eletrônicos especializados ou de domínio amplo, desde que contenham a data e a hora de acesso;</w:t>
      </w:r>
    </w:p>
    <w:p w14:paraId="1B1F9087" w14:textId="658C0CC2" w:rsidR="00BE16A7" w:rsidRDefault="00000000" w:rsidP="000F41EE">
      <w:pPr>
        <w:ind w:left="709"/>
        <w:rPr>
          <w:rFonts w:ascii="Times New Roman" w:eastAsia="Times New Roman" w:hAnsi="Times New Roman" w:cs="Times New Roman"/>
          <w:sz w:val="24"/>
          <w:szCs w:val="24"/>
        </w:rPr>
      </w:pPr>
      <w:bookmarkStart w:id="2" w:name="bookmark=id.1fob9te" w:colFirst="0" w:colLast="0"/>
      <w:bookmarkEnd w:id="2"/>
      <w:r>
        <w:rPr>
          <w:rFonts w:ascii="Times New Roman" w:eastAsia="Times New Roman" w:hAnsi="Times New Roman" w:cs="Times New Roman"/>
          <w:sz w:val="24"/>
          <w:szCs w:val="24"/>
        </w:rPr>
        <w:t xml:space="preserve">III - </w:t>
      </w:r>
      <w:r w:rsidR="000F41EE">
        <w:rPr>
          <w:rFonts w:ascii="Times New Roman" w:eastAsia="Times New Roman" w:hAnsi="Times New Roman" w:cs="Times New Roman"/>
          <w:sz w:val="24"/>
          <w:szCs w:val="24"/>
        </w:rPr>
        <w:t>C</w:t>
      </w:r>
      <w:r>
        <w:rPr>
          <w:rFonts w:ascii="Times New Roman" w:eastAsia="Times New Roman" w:hAnsi="Times New Roman" w:cs="Times New Roman"/>
          <w:sz w:val="24"/>
          <w:szCs w:val="24"/>
        </w:rPr>
        <w:t>ontratações similares feitas pela Administração Pública, em execução ou concluídas no período de 1 (um) ano anterior à data da pesquisa de preços, observado o índice de atualização de preços correspondente;</w:t>
      </w:r>
    </w:p>
    <w:p w14:paraId="24F84677" w14:textId="4863639F" w:rsidR="00BE16A7" w:rsidRDefault="00000000" w:rsidP="000F41EE">
      <w:pPr>
        <w:ind w:left="709"/>
        <w:rPr>
          <w:rFonts w:ascii="Times New Roman" w:eastAsia="Times New Roman" w:hAnsi="Times New Roman" w:cs="Times New Roman"/>
          <w:sz w:val="24"/>
          <w:szCs w:val="24"/>
        </w:rPr>
      </w:pPr>
      <w:bookmarkStart w:id="3" w:name="bookmark=id.3znysh7" w:colFirst="0" w:colLast="0"/>
      <w:bookmarkEnd w:id="3"/>
      <w:r>
        <w:rPr>
          <w:rFonts w:ascii="Times New Roman" w:eastAsia="Times New Roman" w:hAnsi="Times New Roman" w:cs="Times New Roman"/>
          <w:sz w:val="24"/>
          <w:szCs w:val="24"/>
        </w:rPr>
        <w:lastRenderedPageBreak/>
        <w:t xml:space="preserve">IV - </w:t>
      </w:r>
      <w:r w:rsidR="000F41EE">
        <w:rPr>
          <w:rFonts w:ascii="Times New Roman" w:eastAsia="Times New Roman" w:hAnsi="Times New Roman" w:cs="Times New Roman"/>
          <w:sz w:val="24"/>
          <w:szCs w:val="24"/>
        </w:rPr>
        <w:t>Pesquisa</w:t>
      </w:r>
      <w:r>
        <w:rPr>
          <w:rFonts w:ascii="Times New Roman" w:eastAsia="Times New Roman" w:hAnsi="Times New Roman" w:cs="Times New Roman"/>
          <w:sz w:val="24"/>
          <w:szCs w:val="24"/>
        </w:rPr>
        <w:t xml:space="preserve"> na base nacional de notas fiscais eletrônicas, na forma de regulamento. (Art. 23,§ 2º da Lei nº 14.133). Acesso em: </w:t>
      </w:r>
      <w:hyperlink r:id="rId27">
        <w:r>
          <w:rPr>
            <w:rFonts w:ascii="Times New Roman" w:eastAsia="Times New Roman" w:hAnsi="Times New Roman" w:cs="Times New Roman"/>
            <w:color w:val="0563C1"/>
            <w:sz w:val="24"/>
            <w:szCs w:val="24"/>
            <w:u w:val="single"/>
          </w:rPr>
          <w:t>https://www.portaltransparencia.gov.br/notas-fiscais/lista-consultas</w:t>
        </w:r>
      </w:hyperlink>
      <w:r>
        <w:rPr>
          <w:rFonts w:ascii="Times New Roman" w:eastAsia="Times New Roman" w:hAnsi="Times New Roman" w:cs="Times New Roman"/>
          <w:sz w:val="24"/>
          <w:szCs w:val="24"/>
        </w:rPr>
        <w:t xml:space="preserve">. </w:t>
      </w:r>
    </w:p>
    <w:p w14:paraId="63B3F847" w14:textId="77777777" w:rsidR="00BE16A7" w:rsidRDefault="00BE16A7">
      <w:pPr>
        <w:rPr>
          <w:rFonts w:ascii="Times New Roman" w:eastAsia="Times New Roman" w:hAnsi="Times New Roman" w:cs="Times New Roman"/>
          <w:sz w:val="24"/>
          <w:szCs w:val="24"/>
        </w:rPr>
      </w:pPr>
    </w:p>
    <w:p w14:paraId="0A48ACB7" w14:textId="77777777" w:rsidR="00BE16A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 GR da fase contratual (apenas para serviços continuados):</w:t>
      </w:r>
    </w:p>
    <w:p w14:paraId="211691B1" w14:textId="77777777" w:rsidR="00BE16A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Deve ser elaborado conforme art. 20, § 2o, da Instrução Normativa SEGES/MPDG nº 05/2017;</w:t>
      </w:r>
    </w:p>
    <w:p w14:paraId="79E00964" w14:textId="77777777" w:rsidR="00BE16A7" w:rsidRDefault="00BE16A7">
      <w:pPr>
        <w:rPr>
          <w:rFonts w:ascii="Times New Roman" w:eastAsia="Times New Roman" w:hAnsi="Times New Roman" w:cs="Times New Roman"/>
          <w:sz w:val="24"/>
          <w:szCs w:val="24"/>
        </w:rPr>
      </w:pPr>
    </w:p>
    <w:p w14:paraId="22D53638" w14:textId="77777777" w:rsidR="00BE16A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Aplica-se aos casos em que a contratação se efetivar </w:t>
      </w:r>
      <w:proofErr w:type="spellStart"/>
      <w:r>
        <w:rPr>
          <w:rFonts w:ascii="Times New Roman" w:eastAsia="Times New Roman" w:hAnsi="Times New Roman" w:cs="Times New Roman"/>
          <w:sz w:val="24"/>
          <w:szCs w:val="24"/>
        </w:rPr>
        <w:t>por</w:t>
      </w:r>
      <w:proofErr w:type="spellEnd"/>
      <w:r>
        <w:rPr>
          <w:rFonts w:ascii="Times New Roman" w:eastAsia="Times New Roman" w:hAnsi="Times New Roman" w:cs="Times New Roman"/>
          <w:sz w:val="24"/>
          <w:szCs w:val="24"/>
        </w:rPr>
        <w:t xml:space="preserve"> Termo de Contrato. Ou seja, não se aplica a contratações por nota de empenho.</w:t>
      </w:r>
    </w:p>
    <w:p w14:paraId="688DC39B" w14:textId="77777777" w:rsidR="00BE16A7" w:rsidRDefault="00BE16A7">
      <w:pPr>
        <w:rPr>
          <w:rFonts w:ascii="Times New Roman" w:eastAsia="Times New Roman" w:hAnsi="Times New Roman" w:cs="Times New Roman"/>
          <w:sz w:val="24"/>
          <w:szCs w:val="24"/>
        </w:rPr>
      </w:pPr>
    </w:p>
    <w:p w14:paraId="2195F32B" w14:textId="12B126A1" w:rsidR="00BE16A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 modelo para preenchimento (Anexo V) encontra-se disponível no acesso: “</w:t>
      </w:r>
      <w:hyperlink r:id="rId28" w:history="1">
        <w:r w:rsidR="000F41EE" w:rsidRPr="000F41EE">
          <w:rPr>
            <w:rStyle w:val="Hyperlink"/>
            <w:rFonts w:ascii="Times New Roman" w:eastAsia="Times New Roman" w:hAnsi="Times New Roman" w:cs="Times New Roman"/>
            <w:sz w:val="24"/>
            <w:szCs w:val="24"/>
          </w:rPr>
          <w:t>https://comprasecontratacoes.ufes.br/sites/comprasecontratacoes.ufes.br/files/field/anexo/anexo_v_-_modelo_de_gerenciamento_de_risco_.docx</w:t>
        </w:r>
      </w:hyperlink>
      <w:r w:rsidR="000F41EE">
        <w:rPr>
          <w:rFonts w:ascii="Times New Roman" w:eastAsia="Times New Roman" w:hAnsi="Times New Roman" w:cs="Times New Roman"/>
          <w:sz w:val="24"/>
          <w:szCs w:val="24"/>
        </w:rPr>
        <w:t>”</w:t>
      </w:r>
      <w:r w:rsidR="000F41EE" w:rsidRPr="000F41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(abrir link e salvar no seu computador, para editá-lo).</w:t>
      </w:r>
    </w:p>
    <w:p w14:paraId="109E74A4" w14:textId="77777777" w:rsidR="00BE16A7" w:rsidRDefault="00BE16A7">
      <w:pPr>
        <w:ind w:firstLine="720"/>
        <w:rPr>
          <w:rFonts w:ascii="Times New Roman" w:eastAsia="Times New Roman" w:hAnsi="Times New Roman" w:cs="Times New Roman"/>
          <w:sz w:val="24"/>
          <w:szCs w:val="24"/>
        </w:rPr>
      </w:pPr>
    </w:p>
    <w:p w14:paraId="29ED7E03" w14:textId="77777777" w:rsidR="00BE16A7" w:rsidRDefault="00BE16A7">
      <w:pPr>
        <w:rPr>
          <w:rFonts w:ascii="Times New Roman" w:eastAsia="Times New Roman" w:hAnsi="Times New Roman" w:cs="Times New Roman"/>
          <w:sz w:val="24"/>
          <w:szCs w:val="24"/>
        </w:rPr>
      </w:pPr>
    </w:p>
    <w:p w14:paraId="1708090B" w14:textId="77777777" w:rsidR="00BE16A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Considerações finais</w:t>
      </w:r>
    </w:p>
    <w:p w14:paraId="3FA48B6B" w14:textId="77777777" w:rsidR="000F41EE" w:rsidRDefault="000F41EE">
      <w:pPr>
        <w:rPr>
          <w:rFonts w:ascii="Times New Roman" w:eastAsia="Times New Roman" w:hAnsi="Times New Roman" w:cs="Times New Roman"/>
          <w:b/>
          <w:sz w:val="24"/>
          <w:szCs w:val="24"/>
        </w:rPr>
      </w:pPr>
    </w:p>
    <w:p w14:paraId="2A4F9735"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art. 14, inciso I, da IN nº 58, de 8 de agosto de 2022,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elaboração do ETP é facultada nas hipóteses dos incisos I, II, do art. 75 da Lei nº 14.133. Nesse sentido, a despeito da não obrigatoriedade, caso o setor requisitante julgue pertinente poderá elaborá-lo no Sistema ETP Digital.</w:t>
      </w:r>
    </w:p>
    <w:p w14:paraId="4A68862C" w14:textId="77777777" w:rsidR="00BE16A7" w:rsidRDefault="00BE16A7">
      <w:pPr>
        <w:ind w:firstLine="709"/>
        <w:rPr>
          <w:rFonts w:ascii="Times New Roman" w:eastAsia="Times New Roman" w:hAnsi="Times New Roman" w:cs="Times New Roman"/>
          <w:sz w:val="24"/>
          <w:szCs w:val="24"/>
          <w:highlight w:val="yellow"/>
        </w:rPr>
      </w:pPr>
    </w:p>
    <w:p w14:paraId="26F02F7C" w14:textId="77777777" w:rsidR="00BE16A7" w:rsidRDefault="0000000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Caso permaneça alguma dúvida, entre em contato através do e-mail: </w:t>
      </w:r>
      <w:hyperlink r:id="rId29">
        <w:r>
          <w:rPr>
            <w:rFonts w:ascii="Times New Roman" w:eastAsia="Times New Roman" w:hAnsi="Times New Roman" w:cs="Times New Roman"/>
            <w:color w:val="0563C1"/>
            <w:sz w:val="24"/>
            <w:szCs w:val="24"/>
            <w:u w:val="single"/>
          </w:rPr>
          <w:t>licitacao.dcos.proad@ufes.br</w:t>
        </w:r>
      </w:hyperlink>
      <w:r>
        <w:rPr>
          <w:rFonts w:ascii="Times New Roman" w:eastAsia="Times New Roman" w:hAnsi="Times New Roman" w:cs="Times New Roman"/>
          <w:sz w:val="24"/>
          <w:szCs w:val="24"/>
        </w:rPr>
        <w:t xml:space="preserve">. </w:t>
      </w:r>
    </w:p>
    <w:sectPr w:rsidR="00BE16A7">
      <w:footerReference w:type="default" r:id="rId3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686A" w14:textId="77777777" w:rsidR="00485A14" w:rsidRDefault="00485A14" w:rsidP="000F41EE">
      <w:pPr>
        <w:spacing w:line="240" w:lineRule="auto"/>
      </w:pPr>
      <w:r>
        <w:separator/>
      </w:r>
    </w:p>
  </w:endnote>
  <w:endnote w:type="continuationSeparator" w:id="0">
    <w:p w14:paraId="14018395" w14:textId="77777777" w:rsidR="00485A14" w:rsidRDefault="00485A14" w:rsidP="000F4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33774"/>
      <w:docPartObj>
        <w:docPartGallery w:val="Page Numbers (Bottom of Page)"/>
        <w:docPartUnique/>
      </w:docPartObj>
    </w:sdtPr>
    <w:sdtContent>
      <w:p w14:paraId="613B1AE7" w14:textId="71AA082F" w:rsidR="000F41EE" w:rsidRDefault="000F41EE">
        <w:pPr>
          <w:pStyle w:val="Rodap"/>
          <w:jc w:val="center"/>
        </w:pPr>
        <w:r>
          <w:fldChar w:fldCharType="begin"/>
        </w:r>
        <w:r>
          <w:instrText>PAGE   \* MERGEFORMAT</w:instrText>
        </w:r>
        <w:r>
          <w:fldChar w:fldCharType="separate"/>
        </w:r>
        <w:r>
          <w:t>2</w:t>
        </w:r>
        <w:r>
          <w:fldChar w:fldCharType="end"/>
        </w:r>
      </w:p>
    </w:sdtContent>
  </w:sdt>
  <w:p w14:paraId="1D48FD75" w14:textId="77777777" w:rsidR="000F41EE" w:rsidRDefault="000F41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E58D" w14:textId="77777777" w:rsidR="00485A14" w:rsidRDefault="00485A14" w:rsidP="000F41EE">
      <w:pPr>
        <w:spacing w:line="240" w:lineRule="auto"/>
      </w:pPr>
      <w:r>
        <w:separator/>
      </w:r>
    </w:p>
  </w:footnote>
  <w:footnote w:type="continuationSeparator" w:id="0">
    <w:p w14:paraId="563E8B7C" w14:textId="77777777" w:rsidR="00485A14" w:rsidRDefault="00485A14" w:rsidP="000F41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8D0"/>
    <w:multiLevelType w:val="multilevel"/>
    <w:tmpl w:val="A4062690"/>
    <w:lvl w:ilvl="0">
      <w:start w:val="1"/>
      <w:numFmt w:val="upperRoman"/>
      <w:lvlText w:val="%1-"/>
      <w:lvlJc w:val="left"/>
      <w:pPr>
        <w:ind w:left="1560" w:hanging="720"/>
      </w:pPr>
      <w:rPr>
        <w:rFonts w:ascii="Arial" w:eastAsia="Arial" w:hAnsi="Arial" w:cs="Arial"/>
        <w:b/>
        <w:sz w:val="22"/>
        <w:szCs w:val="22"/>
      </w:rPr>
    </w:lvl>
    <w:lvl w:ilvl="1">
      <w:start w:val="1"/>
      <w:numFmt w:val="decimal"/>
      <w:lvlText w:val="%2."/>
      <w:lvlJc w:val="left"/>
      <w:pPr>
        <w:ind w:left="2465" w:hanging="360"/>
      </w:pPr>
      <w:rPr>
        <w:rFonts w:ascii="Arial MT" w:eastAsia="Arial MT" w:hAnsi="Arial MT" w:cs="Arial MT"/>
        <w:sz w:val="22"/>
        <w:szCs w:val="22"/>
      </w:rPr>
    </w:lvl>
    <w:lvl w:ilvl="2">
      <w:start w:val="1"/>
      <w:numFmt w:val="lowerLetter"/>
      <w:lvlText w:val="%3."/>
      <w:lvlJc w:val="left"/>
      <w:pPr>
        <w:ind w:left="2749" w:hanging="361"/>
      </w:pPr>
      <w:rPr>
        <w:rFonts w:ascii="Arial MT" w:eastAsia="Arial MT" w:hAnsi="Arial MT" w:cs="Arial MT"/>
        <w:sz w:val="22"/>
        <w:szCs w:val="22"/>
      </w:rPr>
    </w:lvl>
    <w:lvl w:ilvl="3">
      <w:numFmt w:val="bullet"/>
      <w:lvlText w:val="•"/>
      <w:lvlJc w:val="left"/>
      <w:pPr>
        <w:ind w:left="3648" w:hanging="361"/>
      </w:pPr>
    </w:lvl>
    <w:lvl w:ilvl="4">
      <w:numFmt w:val="bullet"/>
      <w:lvlText w:val="•"/>
      <w:lvlJc w:val="left"/>
      <w:pPr>
        <w:ind w:left="4556" w:hanging="361"/>
      </w:pPr>
    </w:lvl>
    <w:lvl w:ilvl="5">
      <w:numFmt w:val="bullet"/>
      <w:lvlText w:val="•"/>
      <w:lvlJc w:val="left"/>
      <w:pPr>
        <w:ind w:left="5464" w:hanging="361"/>
      </w:pPr>
    </w:lvl>
    <w:lvl w:ilvl="6">
      <w:numFmt w:val="bullet"/>
      <w:lvlText w:val="•"/>
      <w:lvlJc w:val="left"/>
      <w:pPr>
        <w:ind w:left="6373" w:hanging="361"/>
      </w:pPr>
    </w:lvl>
    <w:lvl w:ilvl="7">
      <w:numFmt w:val="bullet"/>
      <w:lvlText w:val="•"/>
      <w:lvlJc w:val="left"/>
      <w:pPr>
        <w:ind w:left="7281" w:hanging="361"/>
      </w:pPr>
    </w:lvl>
    <w:lvl w:ilvl="8">
      <w:numFmt w:val="bullet"/>
      <w:lvlText w:val="•"/>
      <w:lvlJc w:val="left"/>
      <w:pPr>
        <w:ind w:left="8189" w:hanging="361"/>
      </w:pPr>
    </w:lvl>
  </w:abstractNum>
  <w:num w:numId="1" w16cid:durableId="146218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A7"/>
    <w:rsid w:val="000F41EE"/>
    <w:rsid w:val="0048516D"/>
    <w:rsid w:val="00485A14"/>
    <w:rsid w:val="00521BD2"/>
    <w:rsid w:val="00614971"/>
    <w:rsid w:val="00786B43"/>
    <w:rsid w:val="00B31529"/>
    <w:rsid w:val="00BE1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21DC"/>
  <w15:docId w15:val="{FE766449-75D6-4689-B371-FB28A3E8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rsid w:val="00984991"/>
    <w:pPr>
      <w:ind w:left="720"/>
      <w:contextualSpacing/>
    </w:pPr>
  </w:style>
  <w:style w:type="character" w:styleId="Hyperlink">
    <w:name w:val="Hyperlink"/>
    <w:basedOn w:val="Fontepargpadro"/>
    <w:uiPriority w:val="99"/>
    <w:unhideWhenUsed/>
    <w:rsid w:val="00753FB0"/>
    <w:rPr>
      <w:color w:val="0563C1" w:themeColor="hyperlink"/>
      <w:u w:val="single"/>
    </w:rPr>
  </w:style>
  <w:style w:type="character" w:styleId="MenoPendente">
    <w:name w:val="Unresolved Mention"/>
    <w:basedOn w:val="Fontepargpadro"/>
    <w:uiPriority w:val="99"/>
    <w:semiHidden/>
    <w:unhideWhenUsed/>
    <w:rsid w:val="00753FB0"/>
    <w:rPr>
      <w:color w:val="605E5C"/>
      <w:shd w:val="clear" w:color="auto" w:fill="E1DFDD"/>
    </w:rPr>
  </w:style>
  <w:style w:type="table" w:styleId="Tabelacomgrade">
    <w:name w:val="Table Grid"/>
    <w:basedOn w:val="Tabelanormal"/>
    <w:uiPriority w:val="39"/>
    <w:rsid w:val="00D452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0F41EE"/>
    <w:pPr>
      <w:tabs>
        <w:tab w:val="center" w:pos="4252"/>
        <w:tab w:val="right" w:pos="8504"/>
      </w:tabs>
      <w:spacing w:line="240" w:lineRule="auto"/>
    </w:pPr>
  </w:style>
  <w:style w:type="character" w:customStyle="1" w:styleId="CabealhoChar">
    <w:name w:val="Cabeçalho Char"/>
    <w:basedOn w:val="Fontepargpadro"/>
    <w:link w:val="Cabealho"/>
    <w:uiPriority w:val="99"/>
    <w:rsid w:val="000F41EE"/>
  </w:style>
  <w:style w:type="paragraph" w:styleId="Rodap">
    <w:name w:val="footer"/>
    <w:basedOn w:val="Normal"/>
    <w:link w:val="RodapChar"/>
    <w:uiPriority w:val="99"/>
    <w:unhideWhenUsed/>
    <w:rsid w:val="000F41EE"/>
    <w:pPr>
      <w:tabs>
        <w:tab w:val="center" w:pos="4252"/>
        <w:tab w:val="right" w:pos="8504"/>
      </w:tabs>
      <w:spacing w:line="240" w:lineRule="auto"/>
    </w:pPr>
  </w:style>
  <w:style w:type="character" w:customStyle="1" w:styleId="RodapChar">
    <w:name w:val="Rodapé Char"/>
    <w:basedOn w:val="Fontepargpadro"/>
    <w:link w:val="Rodap"/>
    <w:uiPriority w:val="99"/>
    <w:rsid w:val="000F4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compras/pt-br/acesso-a-informacao/legislacao/instrucoes-normativas/instrucao-normativa-seges-me-no-72-de-12-de-agosto-de-2021" TargetMode="External"/><Relationship Id="rId18" Type="http://schemas.openxmlformats.org/officeDocument/2006/relationships/hyperlink" Target="https://www.gov.br/agu/pt-br/composicao/cgu/cgu/modelos/licitacoesecontratos/14133/modelos-da-lei-no-14-133-21-para-contratacao-direta" TargetMode="External"/><Relationship Id="rId26" Type="http://schemas.openxmlformats.org/officeDocument/2006/relationships/hyperlink" Target="https://comprasecontratacoes.ufes.br/sites/comprasecontratacoes.ufes.br/files/field/anexo/anexo_iv_-_documento_de_formalizacao_de_pesquisa_x.docx" TargetMode="Externa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www.gov.br/compras/pt-br/acesso-a-informacao/legislacao/instrucoes-normativas/instrucao-normativa-seges-me-no-67-de-8-de-julho-de-2021" TargetMode="External"/><Relationship Id="rId17" Type="http://schemas.openxmlformats.org/officeDocument/2006/relationships/hyperlink" Target="https://comprasecontratacoes.ufes.br/sites/comprasecontratacoes.ufes.br/files/field/anexo/anexo_ii_-_formulario_para_cadastro_de_operador.docx"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comprasecontratacoes.ufes.br/sites/comprasecontratacoes.ufes.br/files/field/anexo/anexo_i_-_instrucao_para_criacao_do_dfd.pdf" TargetMode="External"/><Relationship Id="rId20" Type="http://schemas.openxmlformats.org/officeDocument/2006/relationships/hyperlink" Target="https://paineldeprecos.planejamento.gov.br/analise-servicos" TargetMode="External"/><Relationship Id="rId29" Type="http://schemas.openxmlformats.org/officeDocument/2006/relationships/hyperlink" Target="mailto:licitacao.dcos.proad@ufes.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br/plataformamaisbrasil/pt-br/legislacao-geral/instrucoes-normativas/instrucao-normativa-seges-me-no-65-de-7-de-julho-de-2021"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br/compras/pt-br/acesso-a-informacao/legislacao/instrucoes-normativas/instrucao-normativa-seges-me-no-81-de-25-de-novembro-de-2022" TargetMode="External"/><Relationship Id="rId23" Type="http://schemas.openxmlformats.org/officeDocument/2006/relationships/hyperlink" Target="https://www.portaltransparencia.gov.br/notas-fiscais/lista-consultas" TargetMode="External"/><Relationship Id="rId28" Type="http://schemas.openxmlformats.org/officeDocument/2006/relationships/hyperlink" Target="https://comprasecontratacoes.ufes.br/sites/comprasecontratacoes.ufes.br/files/field/anexo/anexo_v_-_modelo_de_gerenciamento_de_risco_.docx%20"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comprasecontratacoes.ufes.br/sites/comprasecontratacoes.ufes.br/files/field/anexo/anexo_ii_-_formulario_para_cadastro_de_operador.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estaocontratual.dcos.proad@ufes.br" TargetMode="External"/><Relationship Id="rId14" Type="http://schemas.openxmlformats.org/officeDocument/2006/relationships/hyperlink" Target="http://www.planalto.gov.br/ccivil_03/_ato2011-2014/2013/decreto/d7983.htm" TargetMode="External"/><Relationship Id="rId22" Type="http://schemas.openxmlformats.org/officeDocument/2006/relationships/hyperlink" Target="https://comprasecontratacoes.ufes.br/sites/comprasecontratacoes.ufes.br/files/field/anexo/anexo_iv_-_documento_de_formalizacao_de_pesquisa_x.docx" TargetMode="External"/><Relationship Id="rId27" Type="http://schemas.openxmlformats.org/officeDocument/2006/relationships/hyperlink" Target="https://www.portaltransparencia.gov.br/notas-fiscais/lista-consultas"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BNT_Author.XSL.XSL" StyleName="ABNT NBR 6023:2002*" Version="10"/>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jTx89bLUOx0pZx600ncLAkNpEA==">CgMxLjAyCWlkLmdqZGd4czIKaWQuMzBqMHpsbDIKaWQuMWZvYjl0ZTIKaWQuM3pueXNoNzgAciExSWVrNFVoaHFIUVFoMW1YUGFQbl9qVEljdWlUUlJabl8=</go:docsCustomData>
</go:gDocsCustomXmlDataStorage>
</file>

<file path=customXml/itemProps1.xml><?xml version="1.0" encoding="utf-8"?>
<ds:datastoreItem xmlns:ds="http://schemas.openxmlformats.org/officeDocument/2006/customXml" ds:itemID="{F3EAD95F-847B-4899-92C9-89045BB832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2732</Words>
  <Characters>14753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Fabiana  Kenia Silva Costa</dc:creator>
  <cp:lastModifiedBy>Lucas Albergaria de Magalhães</cp:lastModifiedBy>
  <cp:revision>5</cp:revision>
  <dcterms:created xsi:type="dcterms:W3CDTF">2022-10-19T12:08:00Z</dcterms:created>
  <dcterms:modified xsi:type="dcterms:W3CDTF">2024-03-21T12:10:00Z</dcterms:modified>
</cp:coreProperties>
</file>